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82846" w14:textId="6265F9B2" w:rsidR="00207EC6" w:rsidRPr="00AA1C51" w:rsidRDefault="00836E7A">
      <w:pPr>
        <w:jc w:val="center"/>
        <w:rPr>
          <w:b/>
          <w:bCs/>
          <w:color w:val="000000" w:themeColor="text1"/>
          <w:sz w:val="32"/>
          <w:szCs w:val="32"/>
        </w:rPr>
      </w:pPr>
      <w:bookmarkStart w:id="0" w:name="_Hlk159488395"/>
      <w:bookmarkStart w:id="1" w:name="_Hlk159487504"/>
      <w:r w:rsidRPr="00AA1C51">
        <w:rPr>
          <w:b/>
          <w:bCs/>
          <w:color w:val="000000" w:themeColor="text1"/>
          <w:sz w:val="32"/>
          <w:szCs w:val="32"/>
        </w:rPr>
        <w:t xml:space="preserve">BỘ </w:t>
      </w:r>
      <w:r w:rsidR="00465CFA" w:rsidRPr="00AA1C51">
        <w:rPr>
          <w:b/>
          <w:bCs/>
          <w:color w:val="000000" w:themeColor="text1"/>
          <w:sz w:val="32"/>
          <w:szCs w:val="32"/>
        </w:rPr>
        <w:t>NÔNG</w:t>
      </w:r>
      <w:r w:rsidR="00465CFA" w:rsidRPr="00AA1C51">
        <w:rPr>
          <w:b/>
          <w:bCs/>
          <w:color w:val="000000" w:themeColor="text1"/>
          <w:sz w:val="32"/>
          <w:szCs w:val="32"/>
          <w:lang w:val="vi-VN"/>
        </w:rPr>
        <w:t xml:space="preserve"> NGHIỆP </w:t>
      </w:r>
      <w:r w:rsidRPr="00AA1C51">
        <w:rPr>
          <w:b/>
          <w:bCs/>
          <w:color w:val="000000" w:themeColor="text1"/>
          <w:sz w:val="32"/>
          <w:szCs w:val="32"/>
        </w:rPr>
        <w:t>VÀ MÔI TRƯỜNG</w:t>
      </w:r>
    </w:p>
    <w:bookmarkEnd w:id="0"/>
    <w:p w14:paraId="50DDE9FC" w14:textId="77777777" w:rsidR="00207EC6" w:rsidRPr="00AA1C51" w:rsidRDefault="00836E7A">
      <w:pPr>
        <w:jc w:val="center"/>
        <w:rPr>
          <w:color w:val="000000" w:themeColor="text1"/>
          <w:szCs w:val="28"/>
        </w:rPr>
      </w:pPr>
      <w:r w:rsidRPr="00AA1C51">
        <w:rPr>
          <w:color w:val="000000" w:themeColor="text1"/>
          <w:szCs w:val="28"/>
        </w:rPr>
        <w:t>-----</w:t>
      </w:r>
      <w:r w:rsidRPr="00AA1C51">
        <w:rPr>
          <w:color w:val="000000" w:themeColor="text1"/>
          <w:szCs w:val="28"/>
        </w:rPr>
        <w:sym w:font="Wingdings" w:char="F076"/>
      </w:r>
      <w:r w:rsidRPr="00AA1C51">
        <w:rPr>
          <w:color w:val="000000" w:themeColor="text1"/>
          <w:szCs w:val="28"/>
        </w:rPr>
        <w:t>-----</w:t>
      </w:r>
    </w:p>
    <w:p w14:paraId="6C66393E" w14:textId="77777777" w:rsidR="00207EC6" w:rsidRPr="00AA1C51" w:rsidRDefault="00207EC6">
      <w:pPr>
        <w:rPr>
          <w:color w:val="000000" w:themeColor="text1"/>
        </w:rPr>
      </w:pPr>
    </w:p>
    <w:p w14:paraId="28AEF16B" w14:textId="77777777" w:rsidR="00207EC6" w:rsidRPr="00AA1C51" w:rsidRDefault="00207EC6">
      <w:pPr>
        <w:rPr>
          <w:color w:val="000000" w:themeColor="text1"/>
        </w:rPr>
      </w:pPr>
    </w:p>
    <w:p w14:paraId="5A704CF1" w14:textId="77777777" w:rsidR="00207EC6" w:rsidRPr="00AA1C51" w:rsidRDefault="00207EC6">
      <w:pPr>
        <w:rPr>
          <w:color w:val="000000" w:themeColor="text1"/>
        </w:rPr>
      </w:pPr>
    </w:p>
    <w:p w14:paraId="2144A6CC" w14:textId="77777777" w:rsidR="00207EC6" w:rsidRPr="00AA1C51" w:rsidRDefault="00207EC6">
      <w:pPr>
        <w:rPr>
          <w:color w:val="000000" w:themeColor="text1"/>
        </w:rPr>
      </w:pPr>
    </w:p>
    <w:p w14:paraId="61BFB381" w14:textId="77777777" w:rsidR="00207EC6" w:rsidRPr="00AA1C51" w:rsidRDefault="00207EC6">
      <w:pPr>
        <w:rPr>
          <w:color w:val="000000" w:themeColor="text1"/>
        </w:rPr>
      </w:pPr>
    </w:p>
    <w:p w14:paraId="12563C13" w14:textId="77777777" w:rsidR="00207EC6" w:rsidRPr="00AA1C51" w:rsidRDefault="00207EC6">
      <w:pPr>
        <w:jc w:val="center"/>
        <w:rPr>
          <w:b/>
          <w:color w:val="000000" w:themeColor="text1"/>
          <w:sz w:val="46"/>
          <w:szCs w:val="52"/>
        </w:rPr>
      </w:pPr>
    </w:p>
    <w:p w14:paraId="114B6113" w14:textId="77777777" w:rsidR="00207EC6" w:rsidRPr="00AA1C51" w:rsidRDefault="00836E7A">
      <w:pPr>
        <w:jc w:val="center"/>
        <w:rPr>
          <w:b/>
          <w:color w:val="000000" w:themeColor="text1"/>
          <w:sz w:val="40"/>
          <w:szCs w:val="40"/>
        </w:rPr>
      </w:pPr>
      <w:r w:rsidRPr="00AA1C51">
        <w:rPr>
          <w:b/>
          <w:color w:val="000000" w:themeColor="text1"/>
          <w:sz w:val="40"/>
          <w:szCs w:val="40"/>
        </w:rPr>
        <w:t>BÁO</w:t>
      </w:r>
      <w:r w:rsidRPr="00AA1C51">
        <w:rPr>
          <w:b/>
          <w:color w:val="000000" w:themeColor="text1"/>
          <w:sz w:val="40"/>
          <w:szCs w:val="40"/>
          <w:lang w:val="vi-VN"/>
        </w:rPr>
        <w:t xml:space="preserve"> CÁO</w:t>
      </w:r>
      <w:r w:rsidRPr="00AA1C51">
        <w:rPr>
          <w:b/>
          <w:color w:val="000000" w:themeColor="text1"/>
          <w:sz w:val="40"/>
          <w:szCs w:val="40"/>
        </w:rPr>
        <w:t xml:space="preserve"> </w:t>
      </w:r>
    </w:p>
    <w:p w14:paraId="13D7C3E9" w14:textId="7F28C261" w:rsidR="00207EC6" w:rsidRPr="00AA1C51" w:rsidRDefault="00836E7A" w:rsidP="005C5623">
      <w:pPr>
        <w:spacing w:before="120" w:line="288" w:lineRule="auto"/>
        <w:jc w:val="center"/>
        <w:rPr>
          <w:b/>
          <w:bCs/>
          <w:color w:val="000000" w:themeColor="text1"/>
          <w:sz w:val="30"/>
          <w:szCs w:val="30"/>
        </w:rPr>
      </w:pPr>
      <w:r w:rsidRPr="00AA1C51">
        <w:rPr>
          <w:b/>
          <w:bCs/>
          <w:color w:val="000000" w:themeColor="text1"/>
          <w:sz w:val="30"/>
          <w:szCs w:val="30"/>
        </w:rPr>
        <w:t xml:space="preserve">ĐÁNH GIÁ TÁC ĐỘNG CHÍNH SÁCH </w:t>
      </w:r>
      <w:r w:rsidR="00EC5876" w:rsidRPr="00AA1C51">
        <w:rPr>
          <w:b/>
          <w:bCs/>
          <w:color w:val="000000" w:themeColor="text1"/>
          <w:sz w:val="30"/>
          <w:szCs w:val="30"/>
        </w:rPr>
        <w:br/>
      </w:r>
      <w:r w:rsidR="00EC5876" w:rsidRPr="00AA1C51">
        <w:rPr>
          <w:b/>
          <w:bCs/>
          <w:color w:val="000000" w:themeColor="text1"/>
          <w:sz w:val="30"/>
          <w:szCs w:val="30"/>
          <w:lang w:val="vi-VN"/>
        </w:rPr>
        <w:t xml:space="preserve">DỰ THẢO </w:t>
      </w:r>
      <w:r w:rsidRPr="00AA1C51">
        <w:rPr>
          <w:b/>
          <w:bCs/>
          <w:color w:val="000000" w:themeColor="text1"/>
          <w:sz w:val="30"/>
          <w:szCs w:val="30"/>
        </w:rPr>
        <w:t xml:space="preserve">NGHỊ ĐỊNH QUY ĐỊNH </w:t>
      </w:r>
      <w:r w:rsidR="00DD721E" w:rsidRPr="00AA1C51">
        <w:rPr>
          <w:b/>
          <w:bCs/>
          <w:color w:val="000000" w:themeColor="text1"/>
          <w:sz w:val="30"/>
          <w:szCs w:val="30"/>
        </w:rPr>
        <w:t>XỬ PHẠT VI PHẠM        HÀNH CHÍNH TRONG LĨNH VỰC ĐỊA CHẤT</w:t>
      </w:r>
      <w:r w:rsidR="00735439">
        <w:rPr>
          <w:b/>
          <w:bCs/>
          <w:color w:val="000000" w:themeColor="text1"/>
          <w:sz w:val="30"/>
          <w:szCs w:val="30"/>
        </w:rPr>
        <w:t xml:space="preserve"> VÀ</w:t>
      </w:r>
      <w:r w:rsidR="00DD721E" w:rsidRPr="00AA1C51">
        <w:rPr>
          <w:b/>
          <w:bCs/>
          <w:color w:val="000000" w:themeColor="text1"/>
          <w:sz w:val="30"/>
          <w:szCs w:val="30"/>
        </w:rPr>
        <w:t xml:space="preserve"> KHOÁNG SẢN</w:t>
      </w:r>
    </w:p>
    <w:p w14:paraId="5783895A" w14:textId="005C5B60" w:rsidR="00207EC6" w:rsidRPr="00AA1C51" w:rsidRDefault="00836E7A">
      <w:pPr>
        <w:spacing w:before="120"/>
        <w:jc w:val="center"/>
        <w:rPr>
          <w:b/>
          <w:color w:val="000000" w:themeColor="text1"/>
          <w:sz w:val="28"/>
          <w:szCs w:val="28"/>
        </w:rPr>
      </w:pPr>
      <w:r w:rsidRPr="00AA1C51">
        <w:rPr>
          <w:rFonts w:eastAsia="Arial"/>
          <w:i/>
          <w:iCs/>
          <w:color w:val="000000" w:themeColor="text1"/>
          <w:sz w:val="28"/>
          <w:szCs w:val="28"/>
          <w:lang w:val="vi-VN" w:eastAsia="ja-JP"/>
        </w:rPr>
        <w:t>(Kèm theo Tờ trình số</w:t>
      </w:r>
      <w:r w:rsidRPr="00AA1C51">
        <w:rPr>
          <w:rFonts w:eastAsia="Arial"/>
          <w:i/>
          <w:iCs/>
          <w:color w:val="000000" w:themeColor="text1"/>
          <w:sz w:val="28"/>
          <w:szCs w:val="28"/>
          <w:lang w:eastAsia="ja-JP"/>
        </w:rPr>
        <w:t xml:space="preserve"> …</w:t>
      </w:r>
      <w:r w:rsidRPr="00AA1C51">
        <w:rPr>
          <w:rFonts w:eastAsia="Arial"/>
          <w:i/>
          <w:iCs/>
          <w:color w:val="000000" w:themeColor="text1"/>
          <w:sz w:val="28"/>
          <w:szCs w:val="28"/>
          <w:lang w:val="vi-VN" w:eastAsia="ja-JP"/>
        </w:rPr>
        <w:t>/TTr-</w:t>
      </w:r>
      <w:r w:rsidRPr="00AA1C51">
        <w:rPr>
          <w:rFonts w:eastAsia="Arial"/>
          <w:i/>
          <w:iCs/>
          <w:color w:val="000000" w:themeColor="text1"/>
          <w:sz w:val="28"/>
          <w:szCs w:val="28"/>
          <w:lang w:eastAsia="ja-JP"/>
        </w:rPr>
        <w:t>B</w:t>
      </w:r>
      <w:r w:rsidR="00465CFA" w:rsidRPr="00AA1C51">
        <w:rPr>
          <w:rFonts w:eastAsia="Arial"/>
          <w:i/>
          <w:iCs/>
          <w:color w:val="000000" w:themeColor="text1"/>
          <w:sz w:val="28"/>
          <w:szCs w:val="28"/>
          <w:lang w:eastAsia="ja-JP"/>
        </w:rPr>
        <w:t>N</w:t>
      </w:r>
      <w:r w:rsidRPr="00AA1C51">
        <w:rPr>
          <w:rFonts w:eastAsia="Arial"/>
          <w:i/>
          <w:iCs/>
          <w:color w:val="000000" w:themeColor="text1"/>
          <w:sz w:val="28"/>
          <w:szCs w:val="28"/>
          <w:lang w:eastAsia="ja-JP"/>
        </w:rPr>
        <w:t>NMT</w:t>
      </w:r>
      <w:r w:rsidRPr="00AA1C51">
        <w:rPr>
          <w:rFonts w:eastAsia="Arial"/>
          <w:i/>
          <w:iCs/>
          <w:color w:val="000000" w:themeColor="text1"/>
          <w:sz w:val="28"/>
          <w:szCs w:val="28"/>
          <w:lang w:val="vi-VN" w:eastAsia="ja-JP"/>
        </w:rPr>
        <w:t xml:space="preserve"> ngày</w:t>
      </w:r>
      <w:r w:rsidRPr="00AA1C51">
        <w:rPr>
          <w:rFonts w:eastAsia="Arial"/>
          <w:i/>
          <w:iCs/>
          <w:color w:val="000000" w:themeColor="text1"/>
          <w:sz w:val="28"/>
          <w:szCs w:val="28"/>
          <w:lang w:eastAsia="ja-JP"/>
        </w:rPr>
        <w:t xml:space="preserve"> …/…</w:t>
      </w:r>
      <w:r w:rsidRPr="00AA1C51">
        <w:rPr>
          <w:rFonts w:eastAsia="Arial"/>
          <w:i/>
          <w:iCs/>
          <w:color w:val="000000" w:themeColor="text1"/>
          <w:sz w:val="28"/>
          <w:szCs w:val="28"/>
          <w:lang w:val="vi-VN" w:eastAsia="ja-JP"/>
        </w:rPr>
        <w:t>/202</w:t>
      </w:r>
      <w:r w:rsidR="00FE6F61">
        <w:rPr>
          <w:rFonts w:eastAsia="Arial"/>
          <w:i/>
          <w:iCs/>
          <w:color w:val="000000" w:themeColor="text1"/>
          <w:sz w:val="28"/>
          <w:szCs w:val="28"/>
          <w:lang w:eastAsia="ja-JP"/>
        </w:rPr>
        <w:t>6</w:t>
      </w:r>
      <w:r w:rsidRPr="00AA1C51">
        <w:rPr>
          <w:rFonts w:eastAsia="Arial"/>
          <w:i/>
          <w:iCs/>
          <w:color w:val="000000" w:themeColor="text1"/>
          <w:sz w:val="28"/>
          <w:szCs w:val="28"/>
          <w:lang w:val="vi-VN" w:eastAsia="ja-JP"/>
        </w:rPr>
        <w:br/>
        <w:t xml:space="preserve">của </w:t>
      </w:r>
      <w:r w:rsidRPr="00AA1C51">
        <w:rPr>
          <w:rFonts w:eastAsia="Arial"/>
          <w:i/>
          <w:iCs/>
          <w:color w:val="000000" w:themeColor="text1"/>
          <w:sz w:val="28"/>
          <w:szCs w:val="28"/>
          <w:lang w:eastAsia="ja-JP"/>
        </w:rPr>
        <w:t xml:space="preserve">Bộ </w:t>
      </w:r>
      <w:r w:rsidR="00465CFA" w:rsidRPr="00AA1C51">
        <w:rPr>
          <w:rFonts w:eastAsia="Arial"/>
          <w:i/>
          <w:iCs/>
          <w:color w:val="000000" w:themeColor="text1"/>
          <w:sz w:val="28"/>
          <w:szCs w:val="28"/>
          <w:lang w:eastAsia="ja-JP"/>
        </w:rPr>
        <w:t>Nông</w:t>
      </w:r>
      <w:r w:rsidR="00465CFA" w:rsidRPr="00AA1C51">
        <w:rPr>
          <w:rFonts w:eastAsia="Arial"/>
          <w:i/>
          <w:iCs/>
          <w:color w:val="000000" w:themeColor="text1"/>
          <w:sz w:val="28"/>
          <w:szCs w:val="28"/>
          <w:lang w:val="vi-VN" w:eastAsia="ja-JP"/>
        </w:rPr>
        <w:t xml:space="preserve"> nghiệp </w:t>
      </w:r>
      <w:r w:rsidRPr="00AA1C51">
        <w:rPr>
          <w:rFonts w:eastAsia="Arial"/>
          <w:i/>
          <w:iCs/>
          <w:color w:val="000000" w:themeColor="text1"/>
          <w:sz w:val="28"/>
          <w:szCs w:val="28"/>
          <w:lang w:eastAsia="ja-JP"/>
        </w:rPr>
        <w:t>và Môi trường</w:t>
      </w:r>
      <w:r w:rsidRPr="00AA1C51">
        <w:rPr>
          <w:rFonts w:eastAsia="Arial"/>
          <w:i/>
          <w:iCs/>
          <w:color w:val="000000" w:themeColor="text1"/>
          <w:sz w:val="28"/>
          <w:szCs w:val="28"/>
          <w:lang w:val="vi-VN" w:eastAsia="ja-JP"/>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1"/>
        <w:gridCol w:w="4531"/>
      </w:tblGrid>
      <w:tr w:rsidR="00207EC6" w:rsidRPr="00AA1C51" w14:paraId="36485407" w14:textId="77777777">
        <w:trPr>
          <w:trHeight w:val="3789"/>
        </w:trPr>
        <w:tc>
          <w:tcPr>
            <w:tcW w:w="4531" w:type="dxa"/>
          </w:tcPr>
          <w:p w14:paraId="6C391503" w14:textId="77777777" w:rsidR="00207EC6" w:rsidRPr="00AA1C51" w:rsidRDefault="00207EC6">
            <w:pPr>
              <w:widowControl w:val="0"/>
              <w:rPr>
                <w:b/>
                <w:color w:val="000000" w:themeColor="text1"/>
              </w:rPr>
            </w:pPr>
          </w:p>
        </w:tc>
        <w:tc>
          <w:tcPr>
            <w:tcW w:w="4531" w:type="dxa"/>
          </w:tcPr>
          <w:p w14:paraId="64E813B1" w14:textId="77777777" w:rsidR="00207EC6" w:rsidRPr="00AA1C51" w:rsidRDefault="00207EC6">
            <w:pPr>
              <w:widowControl w:val="0"/>
              <w:rPr>
                <w:b/>
                <w:color w:val="000000" w:themeColor="text1"/>
              </w:rPr>
            </w:pPr>
          </w:p>
        </w:tc>
      </w:tr>
    </w:tbl>
    <w:p w14:paraId="0FCC6B82" w14:textId="77777777" w:rsidR="00207EC6" w:rsidRPr="00AA1C51" w:rsidRDefault="00207EC6">
      <w:pPr>
        <w:rPr>
          <w:b/>
          <w:color w:val="000000" w:themeColor="text1"/>
          <w:sz w:val="44"/>
        </w:rPr>
      </w:pPr>
    </w:p>
    <w:p w14:paraId="30452156" w14:textId="3DA39561" w:rsidR="00207EC6" w:rsidRPr="00AA1C51" w:rsidRDefault="00207EC6">
      <w:pPr>
        <w:rPr>
          <w:b/>
          <w:color w:val="000000" w:themeColor="text1"/>
        </w:rPr>
      </w:pPr>
    </w:p>
    <w:p w14:paraId="47A686C6" w14:textId="16D4B74B" w:rsidR="005C5623" w:rsidRPr="00AA1C51" w:rsidRDefault="005C5623">
      <w:pPr>
        <w:rPr>
          <w:b/>
          <w:color w:val="000000" w:themeColor="text1"/>
        </w:rPr>
      </w:pPr>
    </w:p>
    <w:p w14:paraId="7988784E" w14:textId="77777777" w:rsidR="005C5623" w:rsidRPr="00AA1C51" w:rsidRDefault="005C5623">
      <w:pPr>
        <w:rPr>
          <w:b/>
          <w:color w:val="000000" w:themeColor="text1"/>
        </w:rPr>
      </w:pPr>
    </w:p>
    <w:p w14:paraId="671CA22D" w14:textId="77777777" w:rsidR="00207EC6" w:rsidRPr="00AA1C51" w:rsidRDefault="00207EC6">
      <w:pPr>
        <w:rPr>
          <w:b/>
          <w:color w:val="000000" w:themeColor="text1"/>
          <w:szCs w:val="28"/>
        </w:rPr>
      </w:pPr>
    </w:p>
    <w:p w14:paraId="5086928E" w14:textId="77777777" w:rsidR="00207EC6" w:rsidRPr="00AA1C51" w:rsidRDefault="00207EC6">
      <w:pPr>
        <w:jc w:val="center"/>
        <w:rPr>
          <w:b/>
          <w:color w:val="000000" w:themeColor="text1"/>
          <w:szCs w:val="28"/>
        </w:rPr>
      </w:pPr>
    </w:p>
    <w:p w14:paraId="55B1353D" w14:textId="77777777" w:rsidR="00207EC6" w:rsidRPr="00AA1C51" w:rsidRDefault="00207EC6">
      <w:pPr>
        <w:jc w:val="center"/>
        <w:rPr>
          <w:b/>
          <w:color w:val="000000" w:themeColor="text1"/>
          <w:szCs w:val="28"/>
        </w:rPr>
      </w:pPr>
    </w:p>
    <w:p w14:paraId="0A545555" w14:textId="77777777" w:rsidR="00207EC6" w:rsidRPr="00AA1C51" w:rsidRDefault="00207EC6">
      <w:pPr>
        <w:jc w:val="center"/>
        <w:rPr>
          <w:b/>
          <w:color w:val="000000" w:themeColor="text1"/>
          <w:szCs w:val="28"/>
        </w:rPr>
      </w:pPr>
    </w:p>
    <w:p w14:paraId="1DC5D982" w14:textId="77777777" w:rsidR="005C5623" w:rsidRPr="00AA1C51" w:rsidRDefault="005C5623">
      <w:pPr>
        <w:jc w:val="center"/>
        <w:rPr>
          <w:b/>
          <w:color w:val="000000" w:themeColor="text1"/>
          <w:sz w:val="28"/>
          <w:szCs w:val="28"/>
        </w:rPr>
      </w:pPr>
    </w:p>
    <w:p w14:paraId="17A8A600" w14:textId="77777777" w:rsidR="005C5623" w:rsidRPr="00AA1C51" w:rsidRDefault="005C5623">
      <w:pPr>
        <w:jc w:val="center"/>
        <w:rPr>
          <w:b/>
          <w:color w:val="000000" w:themeColor="text1"/>
          <w:sz w:val="28"/>
          <w:szCs w:val="28"/>
        </w:rPr>
      </w:pPr>
    </w:p>
    <w:p w14:paraId="452BEA1E" w14:textId="77777777" w:rsidR="005C5623" w:rsidRPr="00AA1C51" w:rsidRDefault="005C5623">
      <w:pPr>
        <w:jc w:val="center"/>
        <w:rPr>
          <w:b/>
          <w:color w:val="000000" w:themeColor="text1"/>
          <w:sz w:val="28"/>
          <w:szCs w:val="28"/>
        </w:rPr>
      </w:pPr>
    </w:p>
    <w:p w14:paraId="531C4958" w14:textId="77777777" w:rsidR="005C5623" w:rsidRPr="00AA1C51" w:rsidRDefault="005C5623">
      <w:pPr>
        <w:jc w:val="center"/>
        <w:rPr>
          <w:b/>
          <w:color w:val="000000" w:themeColor="text1"/>
          <w:sz w:val="28"/>
          <w:szCs w:val="28"/>
        </w:rPr>
      </w:pPr>
    </w:p>
    <w:p w14:paraId="69CC9B7C" w14:textId="77777777" w:rsidR="005C5623" w:rsidRPr="00AA1C51" w:rsidRDefault="005C5623">
      <w:pPr>
        <w:jc w:val="center"/>
        <w:rPr>
          <w:b/>
          <w:color w:val="000000" w:themeColor="text1"/>
          <w:sz w:val="28"/>
          <w:szCs w:val="28"/>
        </w:rPr>
      </w:pPr>
    </w:p>
    <w:p w14:paraId="65C03699" w14:textId="77777777" w:rsidR="005C5623" w:rsidRDefault="005C5623">
      <w:pPr>
        <w:jc w:val="center"/>
        <w:rPr>
          <w:b/>
          <w:color w:val="000000" w:themeColor="text1"/>
          <w:sz w:val="28"/>
          <w:szCs w:val="28"/>
        </w:rPr>
      </w:pPr>
    </w:p>
    <w:p w14:paraId="7CBC62F3" w14:textId="77777777" w:rsidR="005C5623" w:rsidRPr="00AA1C51" w:rsidRDefault="005C5623" w:rsidP="005C5623">
      <w:pPr>
        <w:rPr>
          <w:b/>
          <w:color w:val="000000" w:themeColor="text1"/>
          <w:sz w:val="28"/>
          <w:szCs w:val="28"/>
        </w:rPr>
      </w:pPr>
    </w:p>
    <w:p w14:paraId="72068BF7" w14:textId="77777777" w:rsidR="005C5623" w:rsidRPr="00AA1C51" w:rsidRDefault="005C5623">
      <w:pPr>
        <w:jc w:val="center"/>
        <w:rPr>
          <w:b/>
          <w:color w:val="000000" w:themeColor="text1"/>
          <w:sz w:val="28"/>
          <w:szCs w:val="28"/>
        </w:rPr>
      </w:pPr>
    </w:p>
    <w:p w14:paraId="53B533E8" w14:textId="5820E5C3" w:rsidR="005C5623" w:rsidRPr="00AA1C51" w:rsidRDefault="00836E7A" w:rsidP="00DD721E">
      <w:pPr>
        <w:jc w:val="center"/>
        <w:rPr>
          <w:color w:val="000000" w:themeColor="text1"/>
          <w:sz w:val="28"/>
          <w:szCs w:val="28"/>
        </w:rPr>
      </w:pPr>
      <w:r w:rsidRPr="00AA1C51">
        <w:rPr>
          <w:b/>
          <w:color w:val="000000" w:themeColor="text1"/>
          <w:sz w:val="28"/>
          <w:szCs w:val="28"/>
        </w:rPr>
        <w:t>Hà Nội, 202</w:t>
      </w:r>
      <w:bookmarkStart w:id="2" w:name="_Toc124153515"/>
      <w:bookmarkEnd w:id="1"/>
      <w:r w:rsidR="00FE6F61">
        <w:rPr>
          <w:b/>
          <w:color w:val="000000" w:themeColor="text1"/>
          <w:sz w:val="28"/>
          <w:szCs w:val="28"/>
        </w:rPr>
        <w:t>6</w:t>
      </w:r>
    </w:p>
    <w:tbl>
      <w:tblPr>
        <w:tblW w:w="10671" w:type="dxa"/>
        <w:tblInd w:w="-993" w:type="dxa"/>
        <w:tblLayout w:type="fixed"/>
        <w:tblLook w:val="04A0" w:firstRow="1" w:lastRow="0" w:firstColumn="1" w:lastColumn="0" w:noHBand="0" w:noVBand="1"/>
      </w:tblPr>
      <w:tblGrid>
        <w:gridCol w:w="4962"/>
        <w:gridCol w:w="5709"/>
      </w:tblGrid>
      <w:tr w:rsidR="00AA1C51" w:rsidRPr="00AA1C51" w14:paraId="4551E32D" w14:textId="77777777" w:rsidTr="00465CFA">
        <w:trPr>
          <w:trHeight w:val="526"/>
        </w:trPr>
        <w:tc>
          <w:tcPr>
            <w:tcW w:w="4962" w:type="dxa"/>
          </w:tcPr>
          <w:p w14:paraId="0374474C" w14:textId="1DFC2456" w:rsidR="00207EC6" w:rsidRPr="00AA1C51" w:rsidRDefault="00836E7A">
            <w:pPr>
              <w:jc w:val="center"/>
              <w:rPr>
                <w:b/>
                <w:color w:val="000000" w:themeColor="text1"/>
                <w:sz w:val="26"/>
                <w:szCs w:val="26"/>
              </w:rPr>
            </w:pPr>
            <w:r w:rsidRPr="00AA1C51">
              <w:rPr>
                <w:b/>
                <w:color w:val="000000" w:themeColor="text1"/>
                <w:sz w:val="26"/>
                <w:szCs w:val="26"/>
              </w:rPr>
              <w:lastRenderedPageBreak/>
              <w:t xml:space="preserve">BỘ </w:t>
            </w:r>
            <w:r w:rsidR="00465CFA" w:rsidRPr="00AA1C51">
              <w:rPr>
                <w:b/>
                <w:color w:val="000000" w:themeColor="text1"/>
                <w:sz w:val="26"/>
                <w:szCs w:val="26"/>
              </w:rPr>
              <w:t>NÔNG</w:t>
            </w:r>
            <w:r w:rsidR="00465CFA" w:rsidRPr="00AA1C51">
              <w:rPr>
                <w:b/>
                <w:color w:val="000000" w:themeColor="text1"/>
                <w:sz w:val="26"/>
                <w:szCs w:val="26"/>
                <w:lang w:val="vi-VN"/>
              </w:rPr>
              <w:t xml:space="preserve"> NGHIỆP </w:t>
            </w:r>
            <w:r w:rsidRPr="00AA1C51">
              <w:rPr>
                <w:b/>
                <w:color w:val="000000" w:themeColor="text1"/>
                <w:sz w:val="26"/>
                <w:szCs w:val="26"/>
              </w:rPr>
              <w:t>VÀ MÔI TRƯỜNG</w:t>
            </w:r>
          </w:p>
          <w:p w14:paraId="0BAF71A9" w14:textId="0C651BBB" w:rsidR="00207EC6" w:rsidRPr="00AA1C51" w:rsidRDefault="00DD721E" w:rsidP="00DD721E">
            <w:pPr>
              <w:spacing w:before="360"/>
              <w:jc w:val="center"/>
              <w:rPr>
                <w:color w:val="000000" w:themeColor="text1"/>
                <w:sz w:val="26"/>
                <w:szCs w:val="26"/>
              </w:rPr>
            </w:pPr>
            <w:r w:rsidRPr="00AA1C51">
              <w:rPr>
                <w:noProof/>
                <w:color w:val="000000" w:themeColor="text1"/>
                <w:sz w:val="26"/>
                <w:szCs w:val="26"/>
              </w:rPr>
              <mc:AlternateContent>
                <mc:Choice Requires="wps">
                  <w:drawing>
                    <wp:anchor distT="0" distB="0" distL="114300" distR="114300" simplePos="0" relativeHeight="251661312" behindDoc="0" locked="0" layoutInCell="1" allowOverlap="1" wp14:anchorId="1DE587F6" wp14:editId="4B089FA3">
                      <wp:simplePos x="0" y="0"/>
                      <wp:positionH relativeFrom="column">
                        <wp:posOffset>565150</wp:posOffset>
                      </wp:positionH>
                      <wp:positionV relativeFrom="paragraph">
                        <wp:posOffset>38417</wp:posOffset>
                      </wp:positionV>
                      <wp:extent cx="1862137" cy="0"/>
                      <wp:effectExtent l="0" t="0" r="0" b="0"/>
                      <wp:wrapNone/>
                      <wp:docPr id="879196537" name="Straight Connector 3"/>
                      <wp:cNvGraphicFramePr/>
                      <a:graphic xmlns:a="http://schemas.openxmlformats.org/drawingml/2006/main">
                        <a:graphicData uri="http://schemas.microsoft.com/office/word/2010/wordprocessingShape">
                          <wps:wsp>
                            <wps:cNvCnPr/>
                            <wps:spPr>
                              <a:xfrm>
                                <a:off x="0" y="0"/>
                                <a:ext cx="18621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6913B5"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3pt" to="191.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" strokecolor="black [3200]" strokeweight=".5pt">
                      <v:stroke joinstyle="miter"/>
                    </v:line>
                  </w:pict>
                </mc:Fallback>
              </mc:AlternateContent>
            </w:r>
            <w:r w:rsidR="00836E7A" w:rsidRPr="00AA1C51">
              <w:rPr>
                <w:color w:val="000000" w:themeColor="text1"/>
                <w:sz w:val="26"/>
                <w:szCs w:val="26"/>
              </w:rPr>
              <w:t xml:space="preserve">Số:   </w:t>
            </w:r>
            <w:r w:rsidR="00EC5876" w:rsidRPr="00AA1C51">
              <w:rPr>
                <w:color w:val="000000" w:themeColor="text1"/>
                <w:sz w:val="26"/>
                <w:szCs w:val="26"/>
                <w:lang w:val="vi-VN"/>
              </w:rPr>
              <w:t xml:space="preserve">      </w:t>
            </w:r>
            <w:r w:rsidR="00836E7A" w:rsidRPr="00AA1C51">
              <w:rPr>
                <w:color w:val="000000" w:themeColor="text1"/>
                <w:sz w:val="26"/>
                <w:szCs w:val="26"/>
              </w:rPr>
              <w:t>/BC-B</w:t>
            </w:r>
            <w:r w:rsidR="00465CFA" w:rsidRPr="00AA1C51">
              <w:rPr>
                <w:color w:val="000000" w:themeColor="text1"/>
                <w:sz w:val="26"/>
                <w:szCs w:val="26"/>
              </w:rPr>
              <w:t>N</w:t>
            </w:r>
            <w:r w:rsidR="00836E7A" w:rsidRPr="00AA1C51">
              <w:rPr>
                <w:color w:val="000000" w:themeColor="text1"/>
                <w:sz w:val="26"/>
                <w:szCs w:val="26"/>
              </w:rPr>
              <w:t>NMT</w:t>
            </w:r>
          </w:p>
        </w:tc>
        <w:tc>
          <w:tcPr>
            <w:tcW w:w="5709" w:type="dxa"/>
          </w:tcPr>
          <w:p w14:paraId="64A82A1F" w14:textId="77777777" w:rsidR="00207EC6" w:rsidRPr="00AA1C51" w:rsidRDefault="00836E7A">
            <w:pPr>
              <w:jc w:val="center"/>
              <w:rPr>
                <w:b/>
                <w:color w:val="000000" w:themeColor="text1"/>
                <w:sz w:val="26"/>
                <w:szCs w:val="26"/>
              </w:rPr>
            </w:pPr>
            <w:r w:rsidRPr="00AA1C51">
              <w:rPr>
                <w:b/>
                <w:color w:val="000000" w:themeColor="text1"/>
                <w:sz w:val="26"/>
                <w:szCs w:val="26"/>
              </w:rPr>
              <w:t>CỘNG HÒA XÃ HỘI CHỦ NGHĨA VIỆT NAM</w:t>
            </w:r>
          </w:p>
          <w:p w14:paraId="2264DD47" w14:textId="78C67114" w:rsidR="00207EC6" w:rsidRPr="00AA1C51" w:rsidRDefault="00836E7A">
            <w:pPr>
              <w:jc w:val="center"/>
              <w:rPr>
                <w:b/>
                <w:color w:val="000000" w:themeColor="text1"/>
                <w:sz w:val="26"/>
                <w:szCs w:val="26"/>
              </w:rPr>
            </w:pPr>
            <w:r w:rsidRPr="00AA1C51">
              <w:rPr>
                <w:b/>
                <w:color w:val="000000" w:themeColor="text1"/>
                <w:sz w:val="26"/>
                <w:szCs w:val="26"/>
              </w:rPr>
              <w:t>Độc lập - Tự do -Hạnh phúc</w:t>
            </w:r>
          </w:p>
          <w:p w14:paraId="1289A37E" w14:textId="6FECF5FD" w:rsidR="00207EC6" w:rsidRPr="00AA1C51" w:rsidRDefault="00DD721E" w:rsidP="00DD721E">
            <w:pPr>
              <w:rPr>
                <w:b/>
                <w:color w:val="000000" w:themeColor="text1"/>
                <w:sz w:val="26"/>
                <w:szCs w:val="26"/>
              </w:rPr>
            </w:pPr>
            <w:r w:rsidRPr="00AA1C51">
              <w:rPr>
                <w:b/>
                <w:noProof/>
                <w:color w:val="000000" w:themeColor="text1"/>
                <w:sz w:val="26"/>
                <w:szCs w:val="26"/>
              </w:rPr>
              <mc:AlternateContent>
                <mc:Choice Requires="wps">
                  <w:drawing>
                    <wp:anchor distT="0" distB="0" distL="114300" distR="114300" simplePos="0" relativeHeight="251660288" behindDoc="0" locked="0" layoutInCell="1" allowOverlap="1" wp14:anchorId="09848E28" wp14:editId="7E9869A5">
                      <wp:simplePos x="0" y="0"/>
                      <wp:positionH relativeFrom="column">
                        <wp:posOffset>797878</wp:posOffset>
                      </wp:positionH>
                      <wp:positionV relativeFrom="paragraph">
                        <wp:posOffset>37465</wp:posOffset>
                      </wp:positionV>
                      <wp:extent cx="1924050" cy="19050"/>
                      <wp:effectExtent l="0" t="0" r="19050" b="19050"/>
                      <wp:wrapNone/>
                      <wp:docPr id="262418365" name="Straight Connector 2"/>
                      <wp:cNvGraphicFramePr/>
                      <a:graphic xmlns:a="http://schemas.openxmlformats.org/drawingml/2006/main">
                        <a:graphicData uri="http://schemas.microsoft.com/office/word/2010/wordprocessingShape">
                          <wps:wsp>
                            <wps:cNvCnPr/>
                            <wps:spPr>
                              <a:xfrm>
                                <a:off x="0" y="0"/>
                                <a:ext cx="19240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39334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85pt,2.95pt" to="214.3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" strokecolor="black [3200]" strokeweight=".5pt">
                      <v:stroke joinstyle="miter"/>
                    </v:line>
                  </w:pict>
                </mc:Fallback>
              </mc:AlternateContent>
            </w:r>
          </w:p>
        </w:tc>
      </w:tr>
      <w:tr w:rsidR="00AA1C51" w:rsidRPr="00AA1C51" w14:paraId="625016F8" w14:textId="77777777" w:rsidTr="00465CFA">
        <w:trPr>
          <w:trHeight w:val="910"/>
        </w:trPr>
        <w:tc>
          <w:tcPr>
            <w:tcW w:w="4962" w:type="dxa"/>
          </w:tcPr>
          <w:p w14:paraId="71851D58" w14:textId="77777777" w:rsidR="00207EC6" w:rsidRPr="00AA1C51" w:rsidRDefault="00207EC6">
            <w:pPr>
              <w:jc w:val="center"/>
              <w:rPr>
                <w:color w:val="000000" w:themeColor="text1"/>
                <w:sz w:val="26"/>
                <w:szCs w:val="26"/>
              </w:rPr>
            </w:pPr>
          </w:p>
        </w:tc>
        <w:tc>
          <w:tcPr>
            <w:tcW w:w="5709" w:type="dxa"/>
          </w:tcPr>
          <w:p w14:paraId="1AC3BDAB" w14:textId="0E8A35AE" w:rsidR="00207EC6" w:rsidRPr="00FE6F61" w:rsidRDefault="00836E7A" w:rsidP="00DD721E">
            <w:pPr>
              <w:spacing w:after="120"/>
              <w:jc w:val="center"/>
              <w:rPr>
                <w:i/>
                <w:color w:val="000000" w:themeColor="text1"/>
                <w:sz w:val="26"/>
                <w:szCs w:val="26"/>
              </w:rPr>
            </w:pPr>
            <w:r w:rsidRPr="00AA1C51">
              <w:rPr>
                <w:i/>
                <w:color w:val="000000" w:themeColor="text1"/>
                <w:sz w:val="26"/>
                <w:szCs w:val="26"/>
              </w:rPr>
              <w:t xml:space="preserve">Hà Nội, ngày </w:t>
            </w:r>
            <w:r w:rsidR="00465CFA" w:rsidRPr="00AA1C51">
              <w:rPr>
                <w:i/>
                <w:color w:val="000000" w:themeColor="text1"/>
                <w:sz w:val="26"/>
                <w:szCs w:val="26"/>
                <w:lang w:val="vi-VN"/>
              </w:rPr>
              <w:t xml:space="preserve">  </w:t>
            </w:r>
            <w:r w:rsidRPr="00AA1C51">
              <w:rPr>
                <w:i/>
                <w:color w:val="000000" w:themeColor="text1"/>
                <w:sz w:val="26"/>
                <w:szCs w:val="26"/>
              </w:rPr>
              <w:t xml:space="preserve">   tháng </w:t>
            </w:r>
            <w:r w:rsidR="006D7920">
              <w:rPr>
                <w:i/>
                <w:color w:val="000000" w:themeColor="text1"/>
                <w:sz w:val="26"/>
                <w:szCs w:val="26"/>
              </w:rPr>
              <w:t xml:space="preserve">    </w:t>
            </w:r>
            <w:r w:rsidRPr="00AA1C51">
              <w:rPr>
                <w:i/>
                <w:color w:val="000000" w:themeColor="text1"/>
                <w:sz w:val="26"/>
                <w:szCs w:val="26"/>
              </w:rPr>
              <w:t xml:space="preserve"> năm 202</w:t>
            </w:r>
            <w:r w:rsidR="00FE6F61">
              <w:rPr>
                <w:i/>
                <w:color w:val="000000" w:themeColor="text1"/>
                <w:sz w:val="26"/>
                <w:szCs w:val="26"/>
              </w:rPr>
              <w:t>6</w:t>
            </w:r>
          </w:p>
        </w:tc>
      </w:tr>
    </w:tbl>
    <w:p w14:paraId="358E1DBB" w14:textId="77777777" w:rsidR="00207EC6" w:rsidRPr="00AA1C51" w:rsidRDefault="00836E7A" w:rsidP="003D7785">
      <w:pPr>
        <w:spacing w:before="120"/>
        <w:jc w:val="center"/>
        <w:rPr>
          <w:b/>
          <w:color w:val="000000" w:themeColor="text1"/>
          <w:sz w:val="28"/>
          <w:szCs w:val="28"/>
        </w:rPr>
      </w:pPr>
      <w:r w:rsidRPr="00AA1C51">
        <w:rPr>
          <w:b/>
          <w:color w:val="000000" w:themeColor="text1"/>
          <w:sz w:val="28"/>
          <w:szCs w:val="28"/>
        </w:rPr>
        <w:t>BÁO CÁO</w:t>
      </w:r>
    </w:p>
    <w:p w14:paraId="2E08CB1F" w14:textId="77777777" w:rsidR="003D7785" w:rsidRPr="00AA1C51" w:rsidRDefault="00836E7A">
      <w:pPr>
        <w:jc w:val="center"/>
        <w:rPr>
          <w:b/>
          <w:color w:val="000000" w:themeColor="text1"/>
          <w:sz w:val="28"/>
          <w:szCs w:val="28"/>
        </w:rPr>
      </w:pPr>
      <w:r w:rsidRPr="00AA1C51">
        <w:rPr>
          <w:b/>
          <w:color w:val="000000" w:themeColor="text1"/>
          <w:sz w:val="28"/>
          <w:szCs w:val="28"/>
        </w:rPr>
        <w:t xml:space="preserve">Đánh giá tác động chính sách </w:t>
      </w:r>
      <w:r w:rsidR="00EC5876" w:rsidRPr="00AA1C51">
        <w:rPr>
          <w:b/>
          <w:color w:val="000000" w:themeColor="text1"/>
          <w:sz w:val="28"/>
          <w:szCs w:val="28"/>
        </w:rPr>
        <w:t>trong</w:t>
      </w:r>
      <w:r w:rsidR="00EC5876" w:rsidRPr="00AA1C51">
        <w:rPr>
          <w:b/>
          <w:color w:val="000000" w:themeColor="text1"/>
          <w:sz w:val="28"/>
          <w:szCs w:val="28"/>
          <w:lang w:val="vi-VN"/>
        </w:rPr>
        <w:t xml:space="preserve"> dự thảo </w:t>
      </w:r>
      <w:r w:rsidRPr="00AA1C51">
        <w:rPr>
          <w:b/>
          <w:color w:val="000000" w:themeColor="text1"/>
          <w:sz w:val="28"/>
          <w:szCs w:val="28"/>
        </w:rPr>
        <w:t xml:space="preserve">Nghị định quy định </w:t>
      </w:r>
      <w:r w:rsidR="00DD721E" w:rsidRPr="00AA1C51">
        <w:rPr>
          <w:b/>
          <w:color w:val="000000" w:themeColor="text1"/>
          <w:sz w:val="28"/>
          <w:szCs w:val="28"/>
        </w:rPr>
        <w:t xml:space="preserve">xử phạt </w:t>
      </w:r>
    </w:p>
    <w:p w14:paraId="261DF9F7" w14:textId="673A013E" w:rsidR="00207EC6" w:rsidRPr="00AA1C51" w:rsidRDefault="00DD721E">
      <w:pPr>
        <w:jc w:val="center"/>
        <w:rPr>
          <w:b/>
          <w:color w:val="000000" w:themeColor="text1"/>
          <w:sz w:val="28"/>
          <w:szCs w:val="28"/>
        </w:rPr>
      </w:pPr>
      <w:r w:rsidRPr="00AA1C51">
        <w:rPr>
          <w:b/>
          <w:color w:val="000000" w:themeColor="text1"/>
          <w:sz w:val="28"/>
          <w:szCs w:val="28"/>
        </w:rPr>
        <w:t>vi phạm hành chính trong lĩnh vực</w:t>
      </w:r>
      <w:r w:rsidR="00735439">
        <w:rPr>
          <w:b/>
          <w:color w:val="000000" w:themeColor="text1"/>
          <w:sz w:val="28"/>
          <w:szCs w:val="28"/>
        </w:rPr>
        <w:t xml:space="preserve"> </w:t>
      </w:r>
      <w:r w:rsidRPr="00AA1C51">
        <w:rPr>
          <w:b/>
          <w:color w:val="000000" w:themeColor="text1"/>
          <w:sz w:val="28"/>
          <w:szCs w:val="28"/>
        </w:rPr>
        <w:t>khoáng sản</w:t>
      </w:r>
    </w:p>
    <w:p w14:paraId="670B387E" w14:textId="1EC7973E" w:rsidR="00207EC6" w:rsidRPr="00AA1C51" w:rsidRDefault="003D7785">
      <w:pPr>
        <w:jc w:val="center"/>
        <w:rPr>
          <w:b/>
          <w:color w:val="000000" w:themeColor="text1"/>
          <w:sz w:val="28"/>
          <w:szCs w:val="28"/>
        </w:rPr>
      </w:pPr>
      <w:r w:rsidRPr="00AA1C51">
        <w:rPr>
          <w:b/>
          <w:noProof/>
          <w:color w:val="000000" w:themeColor="text1"/>
          <w:sz w:val="28"/>
          <w:szCs w:val="28"/>
        </w:rPr>
        <mc:AlternateContent>
          <mc:Choice Requires="wps">
            <w:drawing>
              <wp:anchor distT="0" distB="0" distL="114300" distR="114300" simplePos="0" relativeHeight="251662336" behindDoc="0" locked="0" layoutInCell="1" allowOverlap="1" wp14:anchorId="6A01F35F" wp14:editId="3848E42B">
                <wp:simplePos x="0" y="0"/>
                <wp:positionH relativeFrom="column">
                  <wp:posOffset>1584960</wp:posOffset>
                </wp:positionH>
                <wp:positionV relativeFrom="paragraph">
                  <wp:posOffset>34607</wp:posOffset>
                </wp:positionV>
                <wp:extent cx="2638425" cy="9525"/>
                <wp:effectExtent l="0" t="0" r="28575" b="28575"/>
                <wp:wrapNone/>
                <wp:docPr id="1658844274" name="Straight Connector 3"/>
                <wp:cNvGraphicFramePr/>
                <a:graphic xmlns:a="http://schemas.openxmlformats.org/drawingml/2006/main">
                  <a:graphicData uri="http://schemas.microsoft.com/office/word/2010/wordprocessingShape">
                    <wps:wsp>
                      <wps:cNvCnPr/>
                      <wps:spPr>
                        <a:xfrm>
                          <a:off x="0" y="0"/>
                          <a:ext cx="26384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613918"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8pt,2.7pt" to="332.5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" strokecolor="#4472c4 [3204]" strokeweight=".5pt">
                <v:stroke joinstyle="miter"/>
              </v:line>
            </w:pict>
          </mc:Fallback>
        </mc:AlternateContent>
      </w:r>
      <w:r w:rsidR="00836E7A" w:rsidRPr="00AA1C51">
        <w:rPr>
          <w:b/>
          <w:color w:val="000000" w:themeColor="text1"/>
          <w:sz w:val="28"/>
          <w:szCs w:val="28"/>
        </w:rPr>
        <w:t xml:space="preserve"> </w:t>
      </w:r>
    </w:p>
    <w:p w14:paraId="1C80E1E4" w14:textId="77777777" w:rsidR="00207EC6" w:rsidRPr="00AA1C51" w:rsidRDefault="00207EC6">
      <w:pPr>
        <w:pStyle w:val="Heading2"/>
        <w:spacing w:before="120" w:after="0"/>
        <w:rPr>
          <w:rFonts w:cs="Times New Roman"/>
          <w:color w:val="000000" w:themeColor="text1"/>
          <w:sz w:val="28"/>
          <w:szCs w:val="28"/>
        </w:rPr>
      </w:pPr>
    </w:p>
    <w:p w14:paraId="1766B17C" w14:textId="0195BF70" w:rsidR="00207EC6" w:rsidRPr="00AA1C51" w:rsidRDefault="00836E7A" w:rsidP="00035B48">
      <w:pPr>
        <w:pStyle w:val="Heading2"/>
        <w:spacing w:before="120" w:after="0" w:line="360" w:lineRule="exact"/>
        <w:rPr>
          <w:rFonts w:cs="Times New Roman"/>
          <w:color w:val="000000" w:themeColor="text1"/>
          <w:sz w:val="28"/>
          <w:szCs w:val="28"/>
        </w:rPr>
      </w:pPr>
      <w:r w:rsidRPr="00AA1C51">
        <w:rPr>
          <w:rFonts w:cs="Times New Roman"/>
          <w:color w:val="000000" w:themeColor="text1"/>
          <w:sz w:val="28"/>
          <w:szCs w:val="28"/>
        </w:rPr>
        <w:t xml:space="preserve">I. XÁC ĐỊNH VẤN ĐỀ </w:t>
      </w:r>
      <w:bookmarkEnd w:id="2"/>
    </w:p>
    <w:p w14:paraId="59B3AABA" w14:textId="77777777" w:rsidR="00207EC6" w:rsidRPr="00AA1C51" w:rsidRDefault="00836E7A" w:rsidP="00035B48">
      <w:pPr>
        <w:pStyle w:val="Heading2"/>
        <w:spacing w:before="120" w:after="0" w:line="360" w:lineRule="exact"/>
        <w:rPr>
          <w:rFonts w:cs="Times New Roman"/>
          <w:i/>
          <w:iCs/>
          <w:color w:val="000000" w:themeColor="text1"/>
          <w:sz w:val="28"/>
          <w:szCs w:val="28"/>
        </w:rPr>
      </w:pPr>
      <w:bookmarkStart w:id="3" w:name="_Toc124153516"/>
      <w:r w:rsidRPr="00AA1C51">
        <w:rPr>
          <w:rFonts w:cs="Times New Roman"/>
          <w:i/>
          <w:iCs/>
          <w:color w:val="000000" w:themeColor="text1"/>
          <w:sz w:val="28"/>
          <w:szCs w:val="28"/>
        </w:rPr>
        <w:t>1. Bối cảnh xây dựng chính sách</w:t>
      </w:r>
      <w:bookmarkEnd w:id="3"/>
    </w:p>
    <w:p w14:paraId="2A05099E" w14:textId="77777777" w:rsidR="003D7785" w:rsidRPr="00AA1C51" w:rsidRDefault="003D7785" w:rsidP="00035B48">
      <w:pPr>
        <w:pStyle w:val="NormalWeb"/>
        <w:shd w:val="clear" w:color="auto" w:fill="FFFFFF"/>
        <w:snapToGrid w:val="0"/>
        <w:spacing w:before="120" w:line="360" w:lineRule="exact"/>
        <w:ind w:left="0" w:firstLine="720"/>
        <w:jc w:val="both"/>
        <w:rPr>
          <w:color w:val="000000" w:themeColor="text1"/>
          <w:sz w:val="28"/>
          <w:szCs w:val="28"/>
          <w:lang w:val="vi-VN"/>
        </w:rPr>
      </w:pPr>
      <w:bookmarkStart w:id="4" w:name="_Toc124153517"/>
      <w:r w:rsidRPr="00AA1C51">
        <w:rPr>
          <w:color w:val="000000" w:themeColor="text1"/>
          <w:sz w:val="28"/>
          <w:szCs w:val="28"/>
          <w:lang w:val="vi-VN"/>
        </w:rPr>
        <w:t>Xử lý vi phạm hành chính là công cụ quan trọng trong hoạt động quản lý nhà nước; đóng vai trò quan trọng trong việc duy trì trật tự, kỷ cương xã hội, bảo vệ quyền và lợi ích hợp pháp của cá nhân, tổ chức, đồng thời thúc đẩy sự tuân thủ pháp luật. Bên cạnh các quy phạm pháp luật để điều chỉnh hành vi của các tổ chức, cá nhân trong hoạt động địa chất, khoáng sản được quy định trong Luật Địa chất và khoáng sản, Nghị định quy định chi tiết một số điều và biện pháp thi hành Luật Địa chất và khoáng sản, không thể thiếu các quy định về xử lý vi phạm hành chính trong lĩnh vực địa chất và khoáng sản. Đây cũng là một trong những chế tài xử lý nhằm bảo đảm tính hiệu lực, hiệu quả của Luật Địa chất và khoáng sản.</w:t>
      </w:r>
    </w:p>
    <w:p w14:paraId="1A70867E" w14:textId="234F6BCB" w:rsidR="003D7785" w:rsidRPr="00AA1C51" w:rsidRDefault="003D7785" w:rsidP="00035B48">
      <w:pPr>
        <w:widowControl w:val="0"/>
        <w:spacing w:before="120" w:line="360" w:lineRule="exact"/>
        <w:ind w:firstLine="720"/>
        <w:jc w:val="both"/>
        <w:rPr>
          <w:color w:val="000000" w:themeColor="text1"/>
          <w:sz w:val="28"/>
          <w:szCs w:val="28"/>
          <w:lang w:val="nl-NL"/>
        </w:rPr>
      </w:pPr>
      <w:r w:rsidRPr="00AA1C51">
        <w:rPr>
          <w:color w:val="000000" w:themeColor="text1"/>
          <w:sz w:val="28"/>
          <w:szCs w:val="28"/>
          <w:lang w:val="nl-NL"/>
        </w:rPr>
        <w:t xml:space="preserve">Nghị quyết số 66-NQ/TW ngày 30/4/2025 của Bộ Chính trị về đổi mới công tác xây dựng và thi hành pháp luật đáp ứng yêu cầu phát triển đất nước trong kỷ nguyên mới, trong đó nhiệm vụ, giải pháp đã chỉ ra và khẳng định không “hình sự hóa” các mối quan hệ kinh tế, hành chính, dân sự; </w:t>
      </w:r>
      <w:r w:rsidRPr="00AA1C51">
        <w:rPr>
          <w:color w:val="000000" w:themeColor="text1"/>
          <w:sz w:val="28"/>
          <w:szCs w:val="28"/>
          <w:shd w:val="clear" w:color="auto" w:fill="FFFFFF"/>
          <w:lang w:val="vi-VN"/>
        </w:rPr>
        <w:t xml:space="preserve">Kết luận số 119-KL/TW ngày 20/01/2025 của Bộ Chính trị về định hướng đổi mới, hoàn thiện quy trình xây dựng pháp luật và Thông báo số 108/TB-VPTW ngày 18/11/2024 của Văn phòng Trung ương Đảng về kết luận của Đồng chí Tổng Bí thư Tô Lâm tại buổi làm việc với Ban cán sự đảng Bộ Tư pháp về đổi mới tư duy trong xây dựng pháp luật; </w:t>
      </w:r>
      <w:r w:rsidRPr="00AA1C51">
        <w:rPr>
          <w:color w:val="000000" w:themeColor="text1"/>
          <w:sz w:val="28"/>
          <w:szCs w:val="28"/>
          <w:lang w:val="nl-NL"/>
        </w:rPr>
        <w:t>Nghị quyết số 41-NQ/TW ngày 10/10/2023 về xây dựng và phát huy vai trò của đội ngũ doanh nhân, trong đó nhiệm vụ, giải pháp đã nêu rõ tiếp tục hoàn thiện thể chế để xử lý vi phạm, không hình sự hóa quan hệ kinh tế...</w:t>
      </w:r>
    </w:p>
    <w:p w14:paraId="69E46018" w14:textId="77777777" w:rsidR="003D7785" w:rsidRPr="00AA1C51" w:rsidRDefault="003D7785" w:rsidP="00035B48">
      <w:pPr>
        <w:widowControl w:val="0"/>
        <w:spacing w:before="120" w:line="360" w:lineRule="exact"/>
        <w:ind w:firstLine="720"/>
        <w:jc w:val="both"/>
        <w:rPr>
          <w:color w:val="000000" w:themeColor="text1"/>
          <w:sz w:val="28"/>
          <w:szCs w:val="28"/>
          <w:lang w:val="nl-NL"/>
        </w:rPr>
      </w:pPr>
      <w:r w:rsidRPr="00AA1C51">
        <w:rPr>
          <w:color w:val="000000" w:themeColor="text1"/>
          <w:sz w:val="28"/>
          <w:szCs w:val="28"/>
          <w:lang w:val="nl-NL"/>
        </w:rPr>
        <w:t xml:space="preserve">Bộ Chính trị đã ban hành Nghị quyết số 68-NQ/TW ngày 04/5/2025 về phát triển kinh tế tư nhân trong đó tại mục 2.3 phần III về nhiệm vụ, giải pháp đã nêu rõ quan điểm chỉ đạo về việc </w:t>
      </w:r>
      <w:r w:rsidRPr="00AA1C51">
        <w:rPr>
          <w:i/>
          <w:iCs/>
          <w:color w:val="000000" w:themeColor="text1"/>
          <w:sz w:val="28"/>
          <w:szCs w:val="28"/>
          <w:lang w:val="nl-NL"/>
        </w:rPr>
        <w:t>sửa đổi quy định pháp luật nhằm phân định rõ trách nhiệm hình sự với hành chính, dân sự cũng như nguyên tắc ưu tiên các biện pháp hành chính, cho phép doanh nghiệp, doanh nhân khắc phục sai phạm, thiệt hại</w:t>
      </w:r>
      <w:r w:rsidRPr="00AA1C51">
        <w:rPr>
          <w:color w:val="000000" w:themeColor="text1"/>
          <w:sz w:val="28"/>
          <w:szCs w:val="28"/>
          <w:lang w:val="nl-NL"/>
        </w:rPr>
        <w:t>.</w:t>
      </w:r>
    </w:p>
    <w:p w14:paraId="14E6B204" w14:textId="7147EFBC" w:rsidR="003D7785" w:rsidRPr="00AA1C51" w:rsidRDefault="003D7785" w:rsidP="00035B48">
      <w:pPr>
        <w:pStyle w:val="NormalWeb"/>
        <w:shd w:val="clear" w:color="auto" w:fill="FFFFFF"/>
        <w:snapToGrid w:val="0"/>
        <w:spacing w:before="120" w:line="360" w:lineRule="exact"/>
        <w:ind w:left="0" w:firstLine="720"/>
        <w:jc w:val="both"/>
        <w:rPr>
          <w:color w:val="000000" w:themeColor="text1"/>
          <w:sz w:val="28"/>
          <w:szCs w:val="28"/>
          <w:lang w:val="vi-VN"/>
        </w:rPr>
      </w:pPr>
      <w:r w:rsidRPr="00AA1C51">
        <w:rPr>
          <w:color w:val="000000" w:themeColor="text1"/>
          <w:sz w:val="28"/>
          <w:szCs w:val="28"/>
          <w:lang w:val="vi-VN"/>
        </w:rPr>
        <w:lastRenderedPageBreak/>
        <w:t>Luật Địa chất và khoáng sản 2024 (Luật số 54/2024/QH15) đã được Quốc hội nước Cộng hòa xã hội chủ nghĩa Việt Nam thông qua ngày 29/11/2024 để khắc phục những vướng mắc, tồn tại của Luật Khoáng sản 2010, thể chế hóa các chủ trương, chính sách của Đảng và Nhà nước để kịp thời đáp ứng công tác quản trị tài nguyên trong thời kỳ mới.</w:t>
      </w:r>
      <w:bookmarkStart w:id="5" w:name="_Hlk159749905"/>
      <w:r w:rsidRPr="00AA1C51">
        <w:rPr>
          <w:color w:val="000000" w:themeColor="text1"/>
          <w:sz w:val="28"/>
          <w:szCs w:val="28"/>
          <w:lang w:val="vi-VN"/>
        </w:rPr>
        <w:t xml:space="preserve"> </w:t>
      </w:r>
      <w:bookmarkEnd w:id="5"/>
    </w:p>
    <w:p w14:paraId="4C12DEF7" w14:textId="1516D424" w:rsidR="003D7785" w:rsidRPr="00AA1C51" w:rsidRDefault="003D7785" w:rsidP="00035B48">
      <w:pPr>
        <w:pStyle w:val="NormalWeb"/>
        <w:shd w:val="clear" w:color="auto" w:fill="FFFFFF"/>
        <w:snapToGrid w:val="0"/>
        <w:spacing w:before="120" w:line="360" w:lineRule="exact"/>
        <w:ind w:left="0" w:firstLine="720"/>
        <w:jc w:val="both"/>
        <w:rPr>
          <w:color w:val="000000" w:themeColor="text1"/>
          <w:sz w:val="28"/>
          <w:szCs w:val="28"/>
          <w:lang w:val="vi-VN"/>
        </w:rPr>
      </w:pPr>
      <w:r w:rsidRPr="00AA1C51">
        <w:rPr>
          <w:color w:val="000000" w:themeColor="text1"/>
          <w:sz w:val="28"/>
          <w:szCs w:val="28"/>
          <w:lang w:val="vi-VN"/>
        </w:rPr>
        <w:t xml:space="preserve">Bên cạnh đó, </w:t>
      </w:r>
      <w:r w:rsidRPr="00AA1C51">
        <w:rPr>
          <w:rFonts w:eastAsia="SimSun"/>
          <w:color w:val="000000" w:themeColor="text1"/>
          <w:sz w:val="28"/>
          <w:szCs w:val="28"/>
          <w:lang w:val="vi-VN" w:eastAsia="zh-CN"/>
        </w:rPr>
        <w:t xml:space="preserve">thực hiện Chương trình xây dựng và ban hành văn bản quy phạm pháp luật năm 2025 của Chính phủ, Bộ Nông nguyên và Môi trường đã ban hành Quyết định số 540/QĐ-BTNMT ngày 27/3/2025 phê duyệt Chương trình xây dựng và phê duyệt văn bản quy phạm pháp luật năm 2025 thuộc phạm vi quản lý nhà nước của Bộ Nông nguyên và Môi trường. Theo đó, đã giao Cục Địa chất và Khoáng sản Việt Nam chủ trì xây dựng Nghị định xử phạt vi phạm hành chính trong </w:t>
      </w:r>
      <w:r w:rsidR="007A52C2">
        <w:rPr>
          <w:rFonts w:eastAsia="SimSun"/>
          <w:color w:val="000000" w:themeColor="text1"/>
          <w:sz w:val="28"/>
          <w:szCs w:val="28"/>
          <w:lang w:val="vi-VN" w:eastAsia="zh-CN"/>
        </w:rPr>
        <w:t>lĩnh vực địa chất và khoáng sản</w:t>
      </w:r>
      <w:r w:rsidRPr="00AA1C51">
        <w:rPr>
          <w:rFonts w:eastAsia="SimSun"/>
          <w:color w:val="000000" w:themeColor="text1"/>
          <w:sz w:val="28"/>
          <w:szCs w:val="28"/>
          <w:lang w:val="vi-VN" w:eastAsia="zh-CN"/>
        </w:rPr>
        <w:t xml:space="preserve"> thay thế </w:t>
      </w:r>
      <w:r w:rsidRPr="00AA1C51">
        <w:rPr>
          <w:color w:val="000000" w:themeColor="text1"/>
          <w:sz w:val="28"/>
          <w:szCs w:val="28"/>
          <w:lang w:val="vi-VN"/>
        </w:rPr>
        <w:t>Nghị định số 36/2020/NĐ-CP ngày 24/3/2020 (được sửa đổi, bổ sung bởi Nghị định số 04/2022/</w:t>
      </w:r>
      <w:r w:rsidR="008F148D" w:rsidRPr="008F148D">
        <w:rPr>
          <w:color w:val="000000" w:themeColor="text1"/>
          <w:sz w:val="28"/>
          <w:szCs w:val="28"/>
          <w:lang w:val="vi-VN"/>
        </w:rPr>
        <w:t>N</w:t>
      </w:r>
      <w:r w:rsidRPr="00AA1C51">
        <w:rPr>
          <w:color w:val="000000" w:themeColor="text1"/>
          <w:sz w:val="28"/>
          <w:szCs w:val="28"/>
          <w:lang w:val="vi-VN"/>
        </w:rPr>
        <w:t>Đ-CP ngày 06/01/2022)</w:t>
      </w:r>
      <w:r w:rsidRPr="00AA1C51">
        <w:rPr>
          <w:rFonts w:eastAsia="SimSun"/>
          <w:color w:val="000000" w:themeColor="text1"/>
          <w:sz w:val="28"/>
          <w:szCs w:val="28"/>
          <w:lang w:val="vi-VN" w:eastAsia="zh-CN"/>
        </w:rPr>
        <w:t xml:space="preserve"> của Chính phủ quy định về xử phạt vi phạm hành chính trong lĩnh vực tài nguyên nước và khoáng sản.</w:t>
      </w:r>
    </w:p>
    <w:p w14:paraId="53F378C7" w14:textId="77777777" w:rsidR="00207EC6" w:rsidRPr="00AA1C51" w:rsidRDefault="00836E7A" w:rsidP="00035B48">
      <w:pPr>
        <w:pStyle w:val="Heading2"/>
        <w:spacing w:before="120" w:after="0" w:line="360" w:lineRule="exact"/>
        <w:rPr>
          <w:rFonts w:cs="Times New Roman"/>
          <w:i/>
          <w:iCs/>
          <w:color w:val="000000" w:themeColor="text1"/>
          <w:sz w:val="28"/>
          <w:szCs w:val="28"/>
          <w:lang w:val="vi-VN"/>
        </w:rPr>
      </w:pPr>
      <w:r w:rsidRPr="00AA1C51">
        <w:rPr>
          <w:rFonts w:cs="Times New Roman"/>
          <w:i/>
          <w:iCs/>
          <w:color w:val="000000" w:themeColor="text1"/>
          <w:sz w:val="28"/>
          <w:szCs w:val="28"/>
          <w:lang w:val="vi-VN"/>
        </w:rPr>
        <w:t>2. Mục tiêu xây dựng chính sách</w:t>
      </w:r>
      <w:bookmarkEnd w:id="4"/>
    </w:p>
    <w:p w14:paraId="3E6D4555" w14:textId="7769881A" w:rsidR="00207EC6" w:rsidRPr="00AA1C51" w:rsidRDefault="00836E7A" w:rsidP="00035B48">
      <w:pPr>
        <w:pStyle w:val="Heading3"/>
        <w:spacing w:before="120" w:after="0" w:line="360" w:lineRule="exact"/>
        <w:rPr>
          <w:rFonts w:cs="Times New Roman"/>
          <w:color w:val="000000" w:themeColor="text1"/>
          <w:sz w:val="28"/>
          <w:szCs w:val="28"/>
          <w:lang w:val="vi-VN"/>
        </w:rPr>
      </w:pPr>
      <w:bookmarkStart w:id="6" w:name="_Toc124153518"/>
      <w:r w:rsidRPr="00AA1C51">
        <w:rPr>
          <w:rFonts w:eastAsia="Times New Roman" w:cs="Times New Roman"/>
          <w:color w:val="000000" w:themeColor="text1"/>
          <w:sz w:val="28"/>
          <w:szCs w:val="28"/>
          <w:lang w:val="vi-VN"/>
        </w:rPr>
        <w:t xml:space="preserve">2.1. </w:t>
      </w:r>
      <w:r w:rsidRPr="00AA1C51">
        <w:rPr>
          <w:rFonts w:cs="Times New Roman"/>
          <w:color w:val="000000" w:themeColor="text1"/>
          <w:sz w:val="28"/>
          <w:szCs w:val="28"/>
          <w:lang w:val="vi-VN"/>
        </w:rPr>
        <w:t>Mục tiêu tổng thể</w:t>
      </w:r>
      <w:bookmarkEnd w:id="6"/>
    </w:p>
    <w:p w14:paraId="64212297" w14:textId="77777777" w:rsidR="00C62578" w:rsidRPr="00AA1C51" w:rsidRDefault="00C62578" w:rsidP="00035B48">
      <w:pPr>
        <w:widowControl w:val="0"/>
        <w:spacing w:before="120" w:line="360" w:lineRule="exact"/>
        <w:ind w:firstLine="720"/>
        <w:jc w:val="both"/>
        <w:rPr>
          <w:color w:val="000000" w:themeColor="text1"/>
          <w:sz w:val="28"/>
          <w:szCs w:val="28"/>
          <w:lang w:val="nl-NL"/>
        </w:rPr>
      </w:pPr>
      <w:bookmarkStart w:id="7" w:name="_Toc124153519"/>
      <w:r w:rsidRPr="00AA1C51">
        <w:rPr>
          <w:iCs/>
          <w:color w:val="000000" w:themeColor="text1"/>
          <w:sz w:val="28"/>
          <w:szCs w:val="28"/>
          <w:lang w:val="vi-VN"/>
        </w:rPr>
        <w:t>- T</w:t>
      </w:r>
      <w:r w:rsidRPr="00AA1C51">
        <w:rPr>
          <w:color w:val="000000" w:themeColor="text1"/>
          <w:kern w:val="2"/>
          <w:sz w:val="28"/>
          <w:szCs w:val="28"/>
          <w:lang w:val="vi-VN"/>
        </w:rPr>
        <w:t xml:space="preserve">hể chế hóa đầy đủ các quan điểm, đường lối, chủ trương của Đảng, Nhà nước, đặc biệt là </w:t>
      </w:r>
      <w:r w:rsidRPr="00AA1C51">
        <w:rPr>
          <w:color w:val="000000" w:themeColor="text1"/>
          <w:sz w:val="28"/>
          <w:szCs w:val="28"/>
          <w:lang w:val="nl-NL"/>
        </w:rPr>
        <w:t>Nghị quyết số 68-NQ/TW ngày 04/5/2025 của Bộ Chính trị về phát triển kinh tế tư nhân.</w:t>
      </w:r>
    </w:p>
    <w:p w14:paraId="6638D5AB"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bCs/>
          <w:iCs/>
          <w:color w:val="000000" w:themeColor="text1"/>
          <w:sz w:val="28"/>
          <w:szCs w:val="28"/>
          <w:lang w:val="vi-VN"/>
        </w:rPr>
        <w:t>-</w:t>
      </w:r>
      <w:r w:rsidRPr="00AA1C51">
        <w:rPr>
          <w:color w:val="000000" w:themeColor="text1"/>
          <w:sz w:val="28"/>
          <w:szCs w:val="28"/>
          <w:lang w:val="vi-VN"/>
        </w:rPr>
        <w:t xml:space="preserve"> Sửa đổi, bổ sung các quy định của Nghị định 36 bị tác động bởi chủ trương sắp xếp, tổ chức bộ máy, bảo đảm hệ thống các cơ quan, người có thẩm quyền hoạt động liên tục, thông suốt, không bị gián đoạn cũng như đồng bộ với quy định của pháp luật về xử lý vi phạm hành chính đặc biệt là quy định về thẩm quyền xử phạt của các chức danh.</w:t>
      </w:r>
    </w:p>
    <w:p w14:paraId="2D69E0A8" w14:textId="77777777" w:rsidR="00C62578" w:rsidRPr="00AA1C51" w:rsidRDefault="00C62578" w:rsidP="00035B48">
      <w:pPr>
        <w:spacing w:before="120" w:line="360" w:lineRule="exact"/>
        <w:ind w:firstLine="720"/>
        <w:jc w:val="both"/>
        <w:rPr>
          <w:iCs/>
          <w:color w:val="000000" w:themeColor="text1"/>
          <w:sz w:val="28"/>
          <w:szCs w:val="28"/>
          <w:lang w:val="vi-VN"/>
        </w:rPr>
      </w:pPr>
      <w:r w:rsidRPr="00AA1C51">
        <w:rPr>
          <w:bCs/>
          <w:iCs/>
          <w:color w:val="000000" w:themeColor="text1"/>
          <w:sz w:val="28"/>
          <w:szCs w:val="28"/>
          <w:lang w:val="vi-VN"/>
        </w:rPr>
        <w:t>-</w:t>
      </w:r>
      <w:r w:rsidRPr="00AA1C51">
        <w:rPr>
          <w:i/>
          <w:color w:val="000000" w:themeColor="text1"/>
          <w:sz w:val="28"/>
          <w:szCs w:val="28"/>
          <w:lang w:val="vi-VN"/>
        </w:rPr>
        <w:t xml:space="preserve"> </w:t>
      </w:r>
      <w:r w:rsidRPr="00AA1C51">
        <w:rPr>
          <w:iCs/>
          <w:color w:val="000000" w:themeColor="text1"/>
          <w:sz w:val="28"/>
          <w:szCs w:val="28"/>
          <w:lang w:val="vi-VN"/>
        </w:rPr>
        <w:t>Quy định chế tài xử phạt đối với tổ chức, cá nhân có hành vi không thực hiện nghĩa vụ, trách nhiệm hoặc thực hiện các hành vi bị nghiêm cấm quy định trong Luật Địa chất và Khoáng sản năm 2024 và Nghị định số 193/2025/NĐ-CP ngày 02/7/2025.</w:t>
      </w:r>
    </w:p>
    <w:p w14:paraId="51DC5736" w14:textId="77777777" w:rsidR="00C62578" w:rsidRPr="00AA1C51" w:rsidRDefault="00C62578" w:rsidP="00035B48">
      <w:pPr>
        <w:widowControl w:val="0"/>
        <w:spacing w:before="120" w:line="360" w:lineRule="exact"/>
        <w:ind w:firstLine="720"/>
        <w:jc w:val="both"/>
        <w:rPr>
          <w:color w:val="000000" w:themeColor="text1"/>
          <w:sz w:val="28"/>
          <w:szCs w:val="28"/>
          <w:lang w:val="nl-NL"/>
        </w:rPr>
      </w:pPr>
      <w:r w:rsidRPr="00AA1C51">
        <w:rPr>
          <w:color w:val="000000" w:themeColor="text1"/>
          <w:sz w:val="28"/>
          <w:szCs w:val="28"/>
          <w:lang w:val="nl-NL"/>
        </w:rPr>
        <w:t>-</w:t>
      </w:r>
      <w:r w:rsidRPr="00AA1C51">
        <w:rPr>
          <w:b/>
          <w:bCs/>
          <w:i/>
          <w:iCs/>
          <w:color w:val="000000" w:themeColor="text1"/>
          <w:sz w:val="28"/>
          <w:szCs w:val="28"/>
          <w:lang w:val="nl-NL"/>
        </w:rPr>
        <w:t xml:space="preserve"> </w:t>
      </w:r>
      <w:r w:rsidRPr="00AA1C51">
        <w:rPr>
          <w:color w:val="000000" w:themeColor="text1"/>
          <w:sz w:val="28"/>
          <w:szCs w:val="28"/>
          <w:lang w:val="nl-NL"/>
        </w:rPr>
        <w:t>Khắc phục những tồn tại, vướng mắc, bất cập qua hơn 05 năm thi hành Nghị định 36 được các cấp, các ngành, địa phương, doanh nghiệp kiến nghị, góp ý trong quá trình tổng kết, lấy ý kiến xây dựng Dự thảo Nghị định. Quy định ranh giới rõ ràng giữa xử lý hành chính với xử lý hình sự (tội khai thác không đúng nội dung giấy phép quy định tại Điều 227 Bộ Luật hình sự) để thống nhất thực hiện.</w:t>
      </w:r>
    </w:p>
    <w:p w14:paraId="3D401DD3" w14:textId="77777777" w:rsidR="00207EC6" w:rsidRPr="00AA1C51" w:rsidRDefault="00836E7A" w:rsidP="00035B48">
      <w:pPr>
        <w:pStyle w:val="Heading3"/>
        <w:spacing w:before="120" w:after="0" w:line="360" w:lineRule="exact"/>
        <w:rPr>
          <w:rFonts w:cs="Times New Roman"/>
          <w:b w:val="0"/>
          <w:bCs w:val="0"/>
          <w:i w:val="0"/>
          <w:color w:val="000000" w:themeColor="text1"/>
          <w:sz w:val="28"/>
          <w:szCs w:val="28"/>
          <w:lang w:val="nl-NL"/>
        </w:rPr>
      </w:pPr>
      <w:r w:rsidRPr="00AA1C51">
        <w:rPr>
          <w:rFonts w:eastAsia="Times New Roman" w:cs="Times New Roman"/>
          <w:color w:val="000000" w:themeColor="text1"/>
          <w:sz w:val="28"/>
          <w:szCs w:val="28"/>
          <w:lang w:val="nl-NL"/>
        </w:rPr>
        <w:t xml:space="preserve">2.2. </w:t>
      </w:r>
      <w:r w:rsidRPr="00AA1C51">
        <w:rPr>
          <w:rFonts w:cs="Times New Roman"/>
          <w:color w:val="000000" w:themeColor="text1"/>
          <w:sz w:val="28"/>
          <w:szCs w:val="28"/>
          <w:lang w:val="nl-NL"/>
        </w:rPr>
        <w:t>Mục tiêu cụ thể</w:t>
      </w:r>
      <w:bookmarkEnd w:id="7"/>
    </w:p>
    <w:p w14:paraId="5E7D8FD1" w14:textId="77777777" w:rsidR="00C62578" w:rsidRPr="00AA1C51" w:rsidRDefault="00C62578" w:rsidP="00035B48">
      <w:pPr>
        <w:pStyle w:val="BodyText"/>
        <w:spacing w:before="120" w:after="0" w:line="360" w:lineRule="exact"/>
        <w:ind w:firstLine="720"/>
        <w:jc w:val="both"/>
        <w:rPr>
          <w:color w:val="000000" w:themeColor="text1"/>
          <w:sz w:val="28"/>
          <w:lang w:val="vi-VN"/>
        </w:rPr>
      </w:pPr>
      <w:bookmarkStart w:id="8" w:name="_Toc124153520"/>
      <w:r w:rsidRPr="00AA1C51">
        <w:rPr>
          <w:color w:val="000000" w:themeColor="text1"/>
          <w:sz w:val="28"/>
          <w:lang w:val="vi-VN"/>
        </w:rPr>
        <w:t xml:space="preserve">- Chỉ quy định chế tài xử phạt đối với các hành vi vi phạm nghĩa vụ, trách nhiệm, những điều bị nghiêm cấm đối với tổ chức, cá nhân được quy định trong </w:t>
      </w:r>
      <w:r w:rsidRPr="00AA1C51">
        <w:rPr>
          <w:color w:val="000000" w:themeColor="text1"/>
          <w:sz w:val="28"/>
          <w:lang w:val="vi-VN"/>
        </w:rPr>
        <w:lastRenderedPageBreak/>
        <w:t>Luật Địa chất và khoáng sản năm 2024 và Nghị định 193/2025/NĐ-CP. Bãi bỏ, hoặc lược bớt chế tài xử phạt đối với các hành vi không gây nguy hại, hậu quả cho xã hội.</w:t>
      </w:r>
    </w:p>
    <w:p w14:paraId="12032C2E" w14:textId="77777777" w:rsidR="00C62578" w:rsidRPr="00AA1C51" w:rsidRDefault="00C62578" w:rsidP="00035B48">
      <w:pPr>
        <w:spacing w:before="120" w:line="360" w:lineRule="exact"/>
        <w:ind w:firstLine="720"/>
        <w:jc w:val="both"/>
        <w:rPr>
          <w:bCs/>
          <w:color w:val="000000" w:themeColor="text1"/>
          <w:sz w:val="28"/>
          <w:szCs w:val="28"/>
          <w:lang w:val="nl-NL"/>
        </w:rPr>
      </w:pPr>
      <w:r w:rsidRPr="00AA1C51">
        <w:rPr>
          <w:bCs/>
          <w:color w:val="000000" w:themeColor="text1"/>
          <w:sz w:val="28"/>
          <w:szCs w:val="28"/>
          <w:lang w:val="nl-NL"/>
        </w:rPr>
        <w:t>- Nâng cao mức tiền xử phạt đối với một số hành vi có nguy cơ gây ảnh hưởng tới an toàn, môi trường và tài sản nhà nước như: khai thác không đúng thiết kế mỏ, khai thác ra ngoài ranh giới, kê khai, báo cáo sản lượng không trung thực...</w:t>
      </w:r>
    </w:p>
    <w:p w14:paraId="1EC29FBA" w14:textId="77777777" w:rsidR="00C62578" w:rsidRPr="00AA1C51" w:rsidRDefault="00C62578" w:rsidP="00035B48">
      <w:pPr>
        <w:pStyle w:val="BodyText"/>
        <w:spacing w:before="120" w:after="0" w:line="360" w:lineRule="exact"/>
        <w:ind w:firstLine="720"/>
        <w:jc w:val="both"/>
        <w:rPr>
          <w:bCs/>
          <w:color w:val="000000" w:themeColor="text1"/>
          <w:sz w:val="28"/>
          <w:lang w:val="nl-NL"/>
        </w:rPr>
      </w:pPr>
      <w:r w:rsidRPr="00AA1C51">
        <w:rPr>
          <w:bCs/>
          <w:color w:val="000000" w:themeColor="text1"/>
          <w:sz w:val="28"/>
          <w:lang w:val="nl-NL"/>
        </w:rPr>
        <w:t>- Bãi bỏ hình thức tước quyền sử dụng giấy phép trong hình thức xử phạt bổ sung đối với các hành vi vi phạm do nhiều bất cập trong thực tiễn liên quan tới nghĩa vụ của tổ chức, cá nhân được quy định trong giấy phép và nhiều trường hợp đã thế chấp giấy phép tại các ngân hàng. Thay thế hình thức tước giấy phép bằng hình thức đình chỉ hoạt động có thời hạn để đảm bảo tính răn đe.</w:t>
      </w:r>
    </w:p>
    <w:p w14:paraId="2B767332" w14:textId="77777777" w:rsidR="00C62578" w:rsidRPr="00AA1C51" w:rsidRDefault="00C62578" w:rsidP="00035B48">
      <w:pPr>
        <w:pStyle w:val="BodyText"/>
        <w:spacing w:before="120" w:after="0" w:line="360" w:lineRule="exact"/>
        <w:ind w:firstLine="720"/>
        <w:jc w:val="both"/>
        <w:rPr>
          <w:bCs/>
          <w:color w:val="000000" w:themeColor="text1"/>
          <w:sz w:val="28"/>
          <w:lang w:val="nl-NL"/>
        </w:rPr>
      </w:pPr>
      <w:r w:rsidRPr="00AA1C51">
        <w:rPr>
          <w:bCs/>
          <w:color w:val="000000" w:themeColor="text1"/>
          <w:sz w:val="28"/>
          <w:lang w:val="nl-NL"/>
        </w:rPr>
        <w:t>- Hạn chế áp dụng hình thức đình chỉ hoạt động khai thác trong hình thức xử phạt bổ sung do những hệ lụy xấu mang tính dây chuyền ảnh hưởng tới quyền lợi, nghĩa vụ của doanh nghiệp, người lao động và các tổ chức khác (nhiều trường hợp đã có đơn khiếu nại đối với Quyết định xử phạt hành chính). Chỉ áp dụng hình thức này đối với các hành vi nghiêm trọng liên quan tới nghĩa vụ tài chính, an toàn lao động, môi trường và tái phạm hoặc vi phạm nhiều lần, giảm thời gian đình chỉ xuống hạn chế thiệt hại cho doanh nghiệp nhưng cũng đảm bảo tính răn đe.</w:t>
      </w:r>
    </w:p>
    <w:p w14:paraId="7A2E09B8" w14:textId="77777777" w:rsidR="00C62578" w:rsidRPr="00AA1C51" w:rsidRDefault="00C62578" w:rsidP="00035B48">
      <w:pPr>
        <w:pStyle w:val="BodyText"/>
        <w:spacing w:before="120" w:after="0" w:line="360" w:lineRule="exact"/>
        <w:ind w:firstLine="720"/>
        <w:jc w:val="both"/>
        <w:rPr>
          <w:bCs/>
          <w:color w:val="000000" w:themeColor="text1"/>
          <w:sz w:val="28"/>
          <w:lang w:val="nl-NL"/>
        </w:rPr>
      </w:pPr>
      <w:r w:rsidRPr="00AA1C51">
        <w:rPr>
          <w:bCs/>
          <w:color w:val="000000" w:themeColor="text1"/>
          <w:sz w:val="28"/>
          <w:lang w:val="nl-NL"/>
        </w:rPr>
        <w:t xml:space="preserve">- Điều chỉnh chức danh, thẩm quyền của người ban hành quyết định xử phạt VPHC cho phù hợp với các văn bản pháp luật về xử lý vi phạm hành chính và mô hình tổ chức chính quyền 02 cấp. </w:t>
      </w:r>
    </w:p>
    <w:p w14:paraId="5337DFC3" w14:textId="77777777" w:rsidR="00C62578" w:rsidRPr="00AA1C51" w:rsidRDefault="00C62578" w:rsidP="00035B48">
      <w:pPr>
        <w:pStyle w:val="BodyText"/>
        <w:spacing w:before="120" w:after="0" w:line="360" w:lineRule="exact"/>
        <w:ind w:firstLine="720"/>
        <w:jc w:val="both"/>
        <w:rPr>
          <w:bCs/>
          <w:color w:val="000000" w:themeColor="text1"/>
          <w:sz w:val="28"/>
          <w:lang w:val="nl-NL"/>
        </w:rPr>
      </w:pPr>
      <w:r w:rsidRPr="00AA1C51">
        <w:rPr>
          <w:bCs/>
          <w:color w:val="000000" w:themeColor="text1"/>
          <w:sz w:val="28"/>
          <w:lang w:val="nl-NL"/>
        </w:rPr>
        <w:t>- Nghiên cứu, sửa đổi để tháo gỡ các vướng mắc nhằm phân định rõ ranh giới giữa xử lý hành chính với xử lý hình sự.</w:t>
      </w:r>
    </w:p>
    <w:p w14:paraId="219028DD" w14:textId="77777777" w:rsidR="00C62578" w:rsidRPr="00AA1C51" w:rsidRDefault="00C62578" w:rsidP="00035B48">
      <w:pPr>
        <w:pStyle w:val="BodyText"/>
        <w:spacing w:before="120" w:after="0" w:line="360" w:lineRule="exact"/>
        <w:ind w:firstLine="720"/>
        <w:jc w:val="both"/>
        <w:rPr>
          <w:bCs/>
          <w:color w:val="000000" w:themeColor="text1"/>
          <w:sz w:val="28"/>
          <w:lang w:val="nl-NL"/>
        </w:rPr>
      </w:pPr>
      <w:r w:rsidRPr="00AA1C51">
        <w:rPr>
          <w:bCs/>
          <w:color w:val="000000" w:themeColor="text1"/>
          <w:sz w:val="28"/>
          <w:lang w:val="nl-NL"/>
        </w:rPr>
        <w:t>- Lấy ý kiến để xem xét sửa đổi quy định về xác định số lợi bất hợp pháp nhằm tịch thu tang vật đã bị tiêu thụ, tẩu tán do các cơ quan, bộ ngành hiện nay còn nhiều quan điểm khác nhau. Đồng thời, phân định rõ khái niệm “số lợi bất hợp pháp” trong Nghị định xử phạt hành chính với “số lợi bất chính” tại Điều 227 Bộ Luật hình sự để thống nhất thực hiện.</w:t>
      </w:r>
    </w:p>
    <w:p w14:paraId="327C64C7" w14:textId="77777777" w:rsidR="00C62578" w:rsidRPr="00AA1C51" w:rsidRDefault="00C62578" w:rsidP="00035B48">
      <w:pPr>
        <w:pStyle w:val="BodyText"/>
        <w:spacing w:before="120" w:after="0" w:line="360" w:lineRule="exact"/>
        <w:ind w:firstLine="720"/>
        <w:jc w:val="both"/>
        <w:rPr>
          <w:bCs/>
          <w:color w:val="000000" w:themeColor="text1"/>
          <w:sz w:val="28"/>
          <w:lang w:val="nl-NL"/>
        </w:rPr>
      </w:pPr>
      <w:r w:rsidRPr="00AA1C51">
        <w:rPr>
          <w:bCs/>
          <w:color w:val="000000" w:themeColor="text1"/>
          <w:sz w:val="28"/>
          <w:lang w:val="nl-NL"/>
        </w:rPr>
        <w:t>- Điều chỉnh quy định xử lý đối với một số hành vi gặp phải vướng mắc, bất cập qua tổng kết thực tiễn 05 năm thi hành Nghị định số 36.</w:t>
      </w:r>
    </w:p>
    <w:p w14:paraId="21CF0A18" w14:textId="77777777" w:rsidR="00035B48" w:rsidRPr="00AA1C51" w:rsidRDefault="00C62578" w:rsidP="00035B48">
      <w:pPr>
        <w:pStyle w:val="BodyText"/>
        <w:spacing w:before="120" w:after="0" w:line="360" w:lineRule="exact"/>
        <w:ind w:firstLine="720"/>
        <w:jc w:val="both"/>
        <w:rPr>
          <w:bCs/>
          <w:color w:val="000000" w:themeColor="text1"/>
          <w:sz w:val="28"/>
          <w:lang w:val="nl-NL"/>
        </w:rPr>
      </w:pPr>
      <w:r w:rsidRPr="00AA1C51">
        <w:rPr>
          <w:bCs/>
          <w:color w:val="000000" w:themeColor="text1"/>
          <w:sz w:val="28"/>
          <w:lang w:val="nl-NL"/>
        </w:rPr>
        <w:t>- Nghiên cứu áp dụng điều khoản chuyển tiếp để thống nhất áp dụng đối với các vụ việc vi phạm còn đang giải quyết dang dở.</w:t>
      </w:r>
    </w:p>
    <w:p w14:paraId="54F1EBD2" w14:textId="77777777" w:rsidR="00035B48" w:rsidRPr="00AA1C51" w:rsidRDefault="00836E7A" w:rsidP="00035B48">
      <w:pPr>
        <w:pStyle w:val="BodyText"/>
        <w:spacing w:before="120" w:after="0" w:line="360" w:lineRule="exact"/>
        <w:ind w:firstLine="720"/>
        <w:jc w:val="both"/>
        <w:rPr>
          <w:b/>
          <w:bCs/>
          <w:color w:val="000000" w:themeColor="text1"/>
          <w:sz w:val="28"/>
          <w:lang w:val="nl-NL"/>
        </w:rPr>
      </w:pPr>
      <w:r w:rsidRPr="00AA1C51">
        <w:rPr>
          <w:b/>
          <w:bCs/>
          <w:color w:val="000000" w:themeColor="text1"/>
          <w:sz w:val="28"/>
          <w:lang w:val="vi-VN"/>
        </w:rPr>
        <w:t>II. ĐÁNH GIÁ TÁC ĐỘNG CỦA CHÍNH SÁCH</w:t>
      </w:r>
      <w:bookmarkStart w:id="9" w:name="_Toc208319568"/>
      <w:bookmarkEnd w:id="8"/>
    </w:p>
    <w:p w14:paraId="3F8E186B" w14:textId="53EB2284" w:rsidR="00C62578" w:rsidRPr="00AA1C51" w:rsidRDefault="00C62578" w:rsidP="00035B48">
      <w:pPr>
        <w:pStyle w:val="BodyText"/>
        <w:spacing w:before="120" w:after="0" w:line="360" w:lineRule="exact"/>
        <w:ind w:firstLine="720"/>
        <w:jc w:val="both"/>
        <w:rPr>
          <w:b/>
          <w:bCs/>
          <w:i/>
          <w:iCs/>
          <w:color w:val="000000" w:themeColor="text1"/>
          <w:sz w:val="28"/>
          <w:lang w:val="vi-VN"/>
        </w:rPr>
      </w:pPr>
      <w:r w:rsidRPr="00AA1C51">
        <w:rPr>
          <w:b/>
          <w:bCs/>
          <w:i/>
          <w:iCs/>
          <w:color w:val="000000" w:themeColor="text1"/>
          <w:sz w:val="28"/>
          <w:lang w:val="nl-NL"/>
        </w:rPr>
        <w:t xml:space="preserve">1. </w:t>
      </w:r>
      <w:r w:rsidRPr="00AA1C51">
        <w:rPr>
          <w:b/>
          <w:bCs/>
          <w:i/>
          <w:iCs/>
          <w:color w:val="000000" w:themeColor="text1"/>
          <w:sz w:val="28"/>
          <w:lang w:val="vi-VN"/>
        </w:rPr>
        <w:t xml:space="preserve">Tổng quan quy định pháp luật hiện hành về xử phạt vi phạm hành chính trong lĩnh vực khoáng sản </w:t>
      </w:r>
      <w:bookmarkEnd w:id="9"/>
    </w:p>
    <w:p w14:paraId="494B9936"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lastRenderedPageBreak/>
        <w:t>Quy định xử phạt vi phạm hành chính trong lĩnh vực khoáng sản hiện nay chủ yếu được quy định tại Nghị định số 36/2020/NĐ-CP ngày 24/3/2020 của Chính phủ quy định về xử phạt vi phạm hành chính trong lĩnh vực tài nguyên nước và khoáng sản; được sửa đổi, bổ sung bởi Nghị định số 04/2022/NĐ-CP ngày 06/01/2022 của Chính phủ. (Nghị định số 36/2020/NĐ-CP thay thế Nghị định số 33/2017/NĐ-CP của Chính phủ quy định về xử phạt vi phạm hành chính trong lĩnh vực tài nguyên nước và khoáng sản). Ngoài ra, quy định xử phạt vi phạm hành chính có liên quan đến hoạt động khoáng sản còn được quy định tại một số Nghị định xử phạt vi phạm hành chính trong lĩnh vực chuyên ngành khác như Nghị định số 98/2020/NĐ-CP của Chính phủ quy định xử phạt vi phạm hành chính trong hoạt động thương mại, sản xuất, buôn bán hàng giả, hàng cấm và bảo vệ quyền lợi người tiêu dùng (có quy định xử phạt trong hoạt động thương mại liên quan đến khoáng sản không rõ nguồn gốc); Nghị định số 45/2022/NĐ-CP của Chính phủ quy định về xử phạt vi phạm hành chính trong lĩnh vực bảo vệ môi trường.</w:t>
      </w:r>
    </w:p>
    <w:p w14:paraId="74418C5F"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Nghị định số 36/2020/NĐ-CP về xử phạt vi phạm hành chính trong lĩnh vực tài nguyên nước và khoáng sản (được sửa đổi, bổ sung bởi Nghị định số 04/2022/NĐ-CP) quy định các hành vi vi phạm hành chính trong lĩnh vực khoáng sản theo 07 nhóm vấn đề, bao gồm: </w:t>
      </w:r>
    </w:p>
    <w:p w14:paraId="11B31DF6"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i) Vi phạm các quy định về thăm dò, khai thác khoáng sản; </w:t>
      </w:r>
    </w:p>
    <w:p w14:paraId="1F912D2D"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ii) Vi phạm các quy định về đấu giá quyền khai thác khoáng sản; </w:t>
      </w:r>
    </w:p>
    <w:p w14:paraId="1F7EE3C7"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iii) Vi phạm các quy định về sử dụng số liệu, thông tin kết quả điều tra địa chất về khoáng sản, thăm dò khoáng sản; </w:t>
      </w:r>
    </w:p>
    <w:p w14:paraId="61F50742"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iv) Vi phạm các quy định về quyền lợi của địa phương và người dân nơi có khoáng sản được khai thác; </w:t>
      </w:r>
    </w:p>
    <w:p w14:paraId="10245123"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v) Vi phạm các quy định về bảo vệ khoáng sản chưa khai thác; </w:t>
      </w:r>
    </w:p>
    <w:p w14:paraId="5C495D3E"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vi) Vi phạm các quy định về kỹ thuật an toàn mỏ;</w:t>
      </w:r>
    </w:p>
    <w:p w14:paraId="058AEFD7"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vii) Các vi phạm khác trong lĩnh vực khoáng sản.</w:t>
      </w:r>
    </w:p>
    <w:p w14:paraId="3E1FB631"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 Nghị định số 36/2020/NĐ-CP (được sửa đổi, bổ sung bởi Nghị định số 04/2022/NĐ-CP) cũng đã quy định rõ các hình thức xử phạt chính, hình thức xử phạt bổ sung và các biện pháp khắc phục hậu quả, bao gồm: </w:t>
      </w:r>
    </w:p>
    <w:p w14:paraId="619D3A49" w14:textId="77777777" w:rsidR="00C62578" w:rsidRPr="00AA1C51" w:rsidRDefault="00C62578" w:rsidP="00035B48">
      <w:pPr>
        <w:tabs>
          <w:tab w:val="left" w:pos="1134"/>
        </w:tabs>
        <w:spacing w:before="120" w:line="360" w:lineRule="exact"/>
        <w:ind w:firstLine="709"/>
        <w:jc w:val="both"/>
        <w:rPr>
          <w:i/>
          <w:iCs/>
          <w:color w:val="000000" w:themeColor="text1"/>
          <w:sz w:val="28"/>
          <w:szCs w:val="28"/>
          <w:lang w:val="vi-VN"/>
        </w:rPr>
      </w:pPr>
      <w:r w:rsidRPr="00AA1C51">
        <w:rPr>
          <w:i/>
          <w:iCs/>
          <w:color w:val="000000" w:themeColor="text1"/>
          <w:sz w:val="28"/>
          <w:szCs w:val="28"/>
          <w:lang w:val="vi-VN"/>
        </w:rPr>
        <w:t>Hình thức xử phạt chính:</w:t>
      </w:r>
    </w:p>
    <w:p w14:paraId="67D1DD1B"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a) Cảnh cáo;</w:t>
      </w:r>
    </w:p>
    <w:p w14:paraId="791C45CC"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b) Phạt tiền (Mức phạt tiền tối đa đối với một hành vi vi phạm hành chính trong lĩnh vực khoáng sản là 1.000.000.000 đồng đối với cá nhân và là 2.000.000.000 đồng đối với tổ chức);</w:t>
      </w:r>
    </w:p>
    <w:p w14:paraId="4CAEA004"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lastRenderedPageBreak/>
        <w:t>c)</w:t>
      </w:r>
      <w:bookmarkStart w:id="10" w:name="_ftnref3"/>
      <w:bookmarkEnd w:id="10"/>
      <w:r w:rsidRPr="00AA1C51">
        <w:rPr>
          <w:color w:val="000000" w:themeColor="text1"/>
          <w:sz w:val="28"/>
          <w:szCs w:val="28"/>
          <w:lang w:val="vi-VN"/>
        </w:rPr>
        <w:t xml:space="preserve"> Tước quyền sử dụng giấy phép thăm dò, khai thác khoáng sản từ 01 tháng đến 24 tháng, kể từ ngày quyết định xử phạt có hiệu lực thi hành.</w:t>
      </w:r>
    </w:p>
    <w:p w14:paraId="623D8B7F" w14:textId="77777777" w:rsidR="00C62578" w:rsidRPr="00AA1C51" w:rsidRDefault="00C62578" w:rsidP="00035B48">
      <w:pPr>
        <w:tabs>
          <w:tab w:val="left" w:pos="1134"/>
        </w:tabs>
        <w:spacing w:before="120" w:line="360" w:lineRule="exact"/>
        <w:ind w:firstLine="709"/>
        <w:jc w:val="both"/>
        <w:rPr>
          <w:i/>
          <w:iCs/>
          <w:color w:val="000000" w:themeColor="text1"/>
          <w:sz w:val="28"/>
          <w:szCs w:val="28"/>
          <w:lang w:val="vi-VN"/>
        </w:rPr>
      </w:pPr>
      <w:bookmarkStart w:id="11" w:name="_ftnref4"/>
      <w:bookmarkEnd w:id="11"/>
      <w:r w:rsidRPr="00AA1C51">
        <w:rPr>
          <w:i/>
          <w:iCs/>
          <w:color w:val="000000" w:themeColor="text1"/>
          <w:sz w:val="28"/>
          <w:szCs w:val="28"/>
          <w:lang w:val="vi-VN"/>
        </w:rPr>
        <w:t>Hình thức xử phạt bổ sung:</w:t>
      </w:r>
    </w:p>
    <w:p w14:paraId="6E1D835E"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a) Tước quyền sử dụng giấy phép thăm dò, khai thác khoáng sản từ 01 tháng đến 24 tháng, kể từ ngày quyết định xử phạt có hiệu lực thi hành;</w:t>
      </w:r>
    </w:p>
    <w:p w14:paraId="7D458D21"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b) Đình chỉ hoạt động thăm dò, khai thác khoáng sản từ 01 tháng đến 24 tháng, kể từ ngày quyết định xử phạt có hiệu lực thi hành;</w:t>
      </w:r>
    </w:p>
    <w:p w14:paraId="70441F0D"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c) Tịch thu tang vật (bao gồm mẫu vật là khoáng sản và các loại tang vật khác), phương tiện được sử dụng để vi phạm hành chính.</w:t>
      </w:r>
    </w:p>
    <w:p w14:paraId="00681D81" w14:textId="77777777" w:rsidR="00C62578" w:rsidRPr="00AA1C51" w:rsidRDefault="00C62578" w:rsidP="00035B48">
      <w:pPr>
        <w:tabs>
          <w:tab w:val="left" w:pos="1134"/>
        </w:tabs>
        <w:spacing w:before="120" w:line="360" w:lineRule="exact"/>
        <w:ind w:firstLine="709"/>
        <w:jc w:val="both"/>
        <w:rPr>
          <w:i/>
          <w:iCs/>
          <w:color w:val="000000" w:themeColor="text1"/>
          <w:sz w:val="28"/>
          <w:szCs w:val="28"/>
          <w:lang w:val="vi-VN"/>
        </w:rPr>
      </w:pPr>
      <w:bookmarkStart w:id="12" w:name="_ftnref5"/>
      <w:bookmarkEnd w:id="12"/>
      <w:r w:rsidRPr="00AA1C51">
        <w:rPr>
          <w:i/>
          <w:iCs/>
          <w:color w:val="000000" w:themeColor="text1"/>
          <w:sz w:val="28"/>
          <w:szCs w:val="28"/>
          <w:lang w:val="vi-VN"/>
        </w:rPr>
        <w:t>Biện pháp khắc phục hậu quả:</w:t>
      </w:r>
    </w:p>
    <w:p w14:paraId="35408101"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khôi phục lại tình trạng ban đầu gồm các biện pháp: buộc xử lý, khắc phục sự cố sụt, lún, sạt lở đất hoặc sự cố bất thường khác; buộc thực hiện các giải pháp phục hồi đất đai, môi trường;</w:t>
      </w:r>
    </w:p>
    <w:p w14:paraId="06A1E47A"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phá dỡ công trình, phần công trình xây dựng không có giấy phép hoặc xây dựng không đúng với giấy phép gồm các biện pháp: buộc san lấp, phá dỡ công trình vi phạm; buộc dỡ bỏ, di dời các vật gây cản trở dòng chảy; buộc di chuyển máy móc, thiết bị, tài sản ra khỏi khu vực thăm dò, khai thác khoáng sản;</w:t>
      </w:r>
    </w:p>
    <w:p w14:paraId="0BC6C768"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thực hiện các biện pháp khắc phục tình trạng ô nhiễm, suy thoái, cạn kiệt nguồn nước; trám lấp giếng không sử dụng; thực hiện các biện pháp ngăn ngừa ô nhiễm môi trường, tác động xấu đến sức khỏe con người; các giải pháp phục hồi môi trường khu vực khai thác;</w:t>
      </w:r>
    </w:p>
    <w:p w14:paraId="63DCA544"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san lấp công trình thăm dò; thực hiện các biện pháp bảo vệ khoáng sản chưa khai thác, phục hồi môi trường và giao nộp mẫu vật, thông tin về khoáng sản cho cơ quan quản lý nhà nước có thẩm quyền về khoáng sản;</w:t>
      </w:r>
    </w:p>
    <w:p w14:paraId="22BCFC4B"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san lấp các công trình thăm dò, phục hồi môi trường trong diện tích khu vực đã thăm dò vượt ra ngoài diện tích được phép thăm dò; phục hồi môi trường khu vực đã thăm dò; buộc san lấp, cải tạo, phục hồi môi trường;</w:t>
      </w:r>
    </w:p>
    <w:p w14:paraId="472793E0"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thực hiện các giải pháp đưa các khu vực đã khai thác vượt ra ngoài phạm vi được phép khai thác về trạng thái an toàn; phục hồi đất đai theo đề án đóng cửa mỏ đã được cấp có thẩm quyền phê duyệt;</w:t>
      </w:r>
    </w:p>
    <w:p w14:paraId="5460CEEB"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 xml:space="preserve">Buộc khai thác đúng phương pháp khai thác quy định trong giấy phép khai thác khoáng sản; đúng hệ thống khai thông, chuẩn bị (đối với khai thác hầm lò), hệ thống mở vỉa (đối với khai thác lộ thiên); đúng trình tự khai thác; đúng hệ thống khai thác; đúng các thông số của hệ thống khai thác, gồm: chiều cao tầng, góc dốc sườn tầng; đổ thải đúng vị trí đã xác định trong Thiết kế mỏ/Báo cáo kinh tế kỹ thuật được phê duyệt; đúng khung thời gian khai thác hoặc đúng số lượng, </w:t>
      </w:r>
      <w:r w:rsidRPr="00AA1C51">
        <w:rPr>
          <w:color w:val="000000" w:themeColor="text1"/>
          <w:sz w:val="28"/>
          <w:szCs w:val="28"/>
          <w:lang w:val="vi-VN"/>
        </w:rPr>
        <w:lastRenderedPageBreak/>
        <w:t>chủng loại thiết bị khai thác trong giấy phép hoặc văn bản của cơ quan có thẩm quyền cho phép (đối với cát, sỏi lòng sông, suối, hồ);</w:t>
      </w:r>
    </w:p>
    <w:p w14:paraId="20EEDF58"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thực hiện các biện pháp cải tạo các công trình bảo vệ môi trường, khắc phục ô nhiễm môi trường, hư hỏng hạ tầng kỹ thuật do hành vi khai thác vượt công suất gây ra;</w:t>
      </w:r>
    </w:p>
    <w:p w14:paraId="06FB01DF"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thực hiện các biện pháp khắc phục hư hỏng hạ tầng kỹ thuật; thực hiện việc nâng cấp, duy tu, xây dựng đường giao thông;</w:t>
      </w:r>
    </w:p>
    <w:p w14:paraId="668385C0"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giao nộp mẫu vật, thông tin về khoáng sản cho cơ quan quản lý nhà nước có thẩm quyền về khoáng sản;</w:t>
      </w:r>
    </w:p>
    <w:p w14:paraId="5EAF0A5D"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cải chính thông tin, dữ liệu sai lệch do thực hiện hành vi vi phạm;</w:t>
      </w:r>
    </w:p>
    <w:p w14:paraId="7C2D7609"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nộp vào ngân sách nhà nước toàn bộ khoản tiền sử dụng thông tin về khoáng sản theo thông báo của cơ quan quản lý nhà nước có thẩm quyền, nộp bổ sung phần tiền do chậm nộp;</w:t>
      </w:r>
    </w:p>
    <w:p w14:paraId="771638D1"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nộp lại số lợi bất hợp pháp có được do thực hiện hành vi vi phạm hoặc buộc nộp lại số tiền bằng trị giá tang vật vi phạm hành chính đã bị tiêu thụ, tẩu tán, tiêu hủy trái quy định của pháp luật, cụ thể như sau:</w:t>
      </w:r>
    </w:p>
    <w:p w14:paraId="2A8EAC61"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chi trả kinh phí trưng cầu giám định, kiểm định và đo đạc trong trường hợp có hành vi vi phạm;</w:t>
      </w:r>
    </w:p>
    <w:p w14:paraId="3E77C1DB"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thực hiện các giải pháp cải tạo, phục hồi môi trường khu vực đã khai thác, thực hiện đầy đủ các giải pháp đưa khu vực khai thác về trạng thái an toàn.</w:t>
      </w:r>
    </w:p>
    <w:p w14:paraId="1354C661"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 xml:space="preserve">Buộc nộp lại giấy phép đã bị sửa chữa làm sai lệch nội dung cho cơ quan có thẩm quyền đã cấp đối với trường hợp quy định tại </w:t>
      </w:r>
      <w:bookmarkStart w:id="13" w:name="tc_1"/>
      <w:r w:rsidRPr="00AA1C51">
        <w:rPr>
          <w:color w:val="000000" w:themeColor="text1"/>
          <w:sz w:val="28"/>
          <w:szCs w:val="28"/>
          <w:lang w:val="vi-VN"/>
        </w:rPr>
        <w:t>khoản 1 Điều 12 Nghị định này</w:t>
      </w:r>
      <w:bookmarkEnd w:id="13"/>
      <w:r w:rsidRPr="00AA1C51">
        <w:rPr>
          <w:color w:val="000000" w:themeColor="text1"/>
          <w:sz w:val="28"/>
          <w:szCs w:val="28"/>
          <w:lang w:val="vi-VN"/>
        </w:rPr>
        <w:t>.</w:t>
      </w:r>
    </w:p>
    <w:p w14:paraId="364B2638" w14:textId="479A9F90" w:rsidR="00C62578" w:rsidRPr="00AA1C51" w:rsidRDefault="00001F24" w:rsidP="00035B48">
      <w:pPr>
        <w:pStyle w:val="ListParagraph"/>
        <w:tabs>
          <w:tab w:val="left" w:pos="993"/>
        </w:tabs>
        <w:spacing w:before="120" w:line="360" w:lineRule="exact"/>
        <w:ind w:left="0" w:firstLine="720"/>
        <w:jc w:val="both"/>
        <w:rPr>
          <w:b/>
          <w:bCs/>
          <w:i/>
          <w:iCs/>
          <w:color w:val="000000" w:themeColor="text1"/>
          <w:sz w:val="28"/>
          <w:szCs w:val="28"/>
          <w:lang w:val="vi-VN"/>
        </w:rPr>
      </w:pPr>
      <w:r w:rsidRPr="00AA1C51">
        <w:rPr>
          <w:b/>
          <w:bCs/>
          <w:i/>
          <w:iCs/>
          <w:color w:val="000000" w:themeColor="text1"/>
          <w:sz w:val="28"/>
          <w:szCs w:val="28"/>
          <w:lang w:val="vi-VN"/>
        </w:rPr>
        <w:t>2.</w:t>
      </w:r>
      <w:r w:rsidR="00035B48" w:rsidRPr="00AA1C51">
        <w:rPr>
          <w:b/>
          <w:bCs/>
          <w:i/>
          <w:iCs/>
          <w:color w:val="000000" w:themeColor="text1"/>
          <w:sz w:val="28"/>
          <w:szCs w:val="28"/>
          <w:lang w:val="vi-VN"/>
        </w:rPr>
        <w:t xml:space="preserve"> </w:t>
      </w:r>
      <w:r w:rsidR="00C62578" w:rsidRPr="00AA1C51">
        <w:rPr>
          <w:b/>
          <w:bCs/>
          <w:i/>
          <w:iCs/>
          <w:color w:val="000000" w:themeColor="text1"/>
          <w:sz w:val="28"/>
          <w:szCs w:val="28"/>
          <w:lang w:val="vi-VN"/>
        </w:rPr>
        <w:t>Tình hình thực hiện quy định xử phạt vi phạm hành chính</w:t>
      </w:r>
    </w:p>
    <w:p w14:paraId="7C0607E9"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Sau khi Nghị định số 36/2020/NĐ-CP về xử phạt vi phạm hành chính trong lĩnh vực tài nguyên nước và khoáng sản được ban hành, công tác thanh tra, kiểm tra chuyên ngành lĩnh vực khoáng sản đã được Bộ Tài nguyên và Môi trường và các địa phương trong cả nước thống nhất thi hành, cụ thể: </w:t>
      </w:r>
    </w:p>
    <w:p w14:paraId="0E6A601F" w14:textId="77777777" w:rsidR="00C62578" w:rsidRPr="00AA1C51" w:rsidRDefault="00C62578" w:rsidP="00035B48">
      <w:pPr>
        <w:tabs>
          <w:tab w:val="left" w:pos="709"/>
        </w:tabs>
        <w:spacing w:before="120" w:line="360" w:lineRule="exact"/>
        <w:ind w:firstLine="720"/>
        <w:jc w:val="both"/>
        <w:outlineLvl w:val="0"/>
        <w:rPr>
          <w:i/>
          <w:color w:val="000000" w:themeColor="text1"/>
          <w:sz w:val="28"/>
          <w:szCs w:val="28"/>
          <w:lang w:val="vi-VN"/>
        </w:rPr>
      </w:pPr>
      <w:bookmarkStart w:id="14" w:name="_Toc208319569"/>
      <w:r w:rsidRPr="00AA1C51">
        <w:rPr>
          <w:i/>
          <w:color w:val="000000" w:themeColor="text1"/>
          <w:sz w:val="28"/>
          <w:szCs w:val="28"/>
          <w:lang w:val="vi-VN"/>
        </w:rPr>
        <w:t>a) Về phía Bộ Tài nguyên và Môi trường</w:t>
      </w:r>
      <w:bookmarkEnd w:id="14"/>
    </w:p>
    <w:p w14:paraId="21F63D16" w14:textId="77777777" w:rsidR="00C62578" w:rsidRPr="00AA1C51" w:rsidRDefault="00C62578" w:rsidP="00035B48">
      <w:pPr>
        <w:widowControl w:val="0"/>
        <w:spacing w:before="120" w:line="360" w:lineRule="exact"/>
        <w:ind w:firstLine="720"/>
        <w:jc w:val="both"/>
        <w:rPr>
          <w:color w:val="000000" w:themeColor="text1"/>
          <w:sz w:val="28"/>
          <w:szCs w:val="28"/>
          <w:lang w:val="pt-BR"/>
        </w:rPr>
      </w:pPr>
      <w:r w:rsidRPr="00AA1C51">
        <w:rPr>
          <w:i/>
          <w:color w:val="000000" w:themeColor="text1"/>
          <w:sz w:val="28"/>
          <w:szCs w:val="28"/>
          <w:lang w:val="vi-VN"/>
        </w:rPr>
        <w:t xml:space="preserve">- Năm 2020, </w:t>
      </w:r>
      <w:r w:rsidRPr="00AA1C51">
        <w:rPr>
          <w:iCs/>
          <w:color w:val="000000" w:themeColor="text1"/>
          <w:sz w:val="28"/>
          <w:szCs w:val="28"/>
          <w:lang w:val="vi-VN"/>
        </w:rPr>
        <w:t>triển khai 03 cuộc</w:t>
      </w:r>
      <w:r w:rsidRPr="00AA1C51">
        <w:rPr>
          <w:i/>
          <w:color w:val="000000" w:themeColor="text1"/>
          <w:sz w:val="28"/>
          <w:szCs w:val="28"/>
          <w:lang w:val="vi-VN"/>
        </w:rPr>
        <w:t xml:space="preserve">  </w:t>
      </w:r>
      <w:r w:rsidRPr="00AA1C51">
        <w:rPr>
          <w:color w:val="000000" w:themeColor="text1"/>
          <w:sz w:val="28"/>
          <w:szCs w:val="28"/>
          <w:lang w:val="vi-VN"/>
        </w:rPr>
        <w:t>thanh tra chuyên đề xác định sản lượng khoáng sản khai thác thực tế tại một số mỏ đá vôi, đá sét làm xi măng tại các tỉnh Ninh Bình, Hải Dương và Quảng Ninh; 06 cuộc kiểm tra hoạt động khai thác khoáng sản, bảo vệ môi trường trong hoạt động khai thác tại các tỉnh Thái Nguyên, Hà Giang, Thanh Hóa, Quảng Bình, Đăk Nông, Lâm Đồng; 08 cuộc kiểm tra định kỳ việc chấp hành các quy định của pháp luật về khoáng sản</w:t>
      </w:r>
      <w:r w:rsidRPr="00AA1C51">
        <w:rPr>
          <w:color w:val="000000" w:themeColor="text1"/>
          <w:sz w:val="28"/>
          <w:szCs w:val="28"/>
          <w:lang w:val="pt-BR"/>
        </w:rPr>
        <w:t xml:space="preserve"> tại các tỉnh Hải </w:t>
      </w:r>
      <w:r w:rsidRPr="00AA1C51">
        <w:rPr>
          <w:color w:val="000000" w:themeColor="text1"/>
          <w:sz w:val="28"/>
          <w:szCs w:val="28"/>
          <w:lang w:val="pt-BR"/>
        </w:rPr>
        <w:lastRenderedPageBreak/>
        <w:t>Phòng</w:t>
      </w:r>
      <w:r w:rsidRPr="00AA1C51">
        <w:rPr>
          <w:iCs/>
          <w:color w:val="000000" w:themeColor="text1"/>
          <w:sz w:val="28"/>
          <w:szCs w:val="28"/>
          <w:lang w:val="pt-BR"/>
        </w:rPr>
        <w:t xml:space="preserve">, Phú Yên, Quảng Ngãi, Tiền Giang, </w:t>
      </w:r>
      <w:r w:rsidRPr="00AA1C51">
        <w:rPr>
          <w:color w:val="000000" w:themeColor="text1"/>
          <w:sz w:val="28"/>
          <w:szCs w:val="28"/>
          <w:lang w:val="pt-BR"/>
        </w:rPr>
        <w:t>Cần Thơ, Trà Vinh, Hậu Giang, Sóc Trăng) 05 cuộc kiểm tra việc thực hiện các kết luận thanh tra tại các tỉnh Hà Nam, Tuyên Quang, Lào Cai, Bình Dương và Bình Phước. Qua thanh tra, kiểm tra đã kịp thời phát hiện, lập biên bản vi phạm trình cấp có thẩm quyền ban hành 58 Quyết định xử phạt vi phạm hành chính với tổng số tiền phạt là: 4.910.000.000 đồng.</w:t>
      </w:r>
    </w:p>
    <w:p w14:paraId="7E9234D4" w14:textId="77777777" w:rsidR="00C62578" w:rsidRPr="00AA1C51" w:rsidRDefault="00C62578" w:rsidP="00035B48">
      <w:pPr>
        <w:shd w:val="clear" w:color="auto" w:fill="FFFFFF"/>
        <w:spacing w:before="120" w:line="360" w:lineRule="exact"/>
        <w:ind w:firstLine="720"/>
        <w:jc w:val="both"/>
        <w:rPr>
          <w:bCs/>
          <w:color w:val="000000" w:themeColor="text1"/>
          <w:sz w:val="28"/>
          <w:szCs w:val="28"/>
          <w:lang w:val="nl-NL"/>
        </w:rPr>
      </w:pPr>
      <w:r w:rsidRPr="00AA1C51">
        <w:rPr>
          <w:color w:val="000000" w:themeColor="text1"/>
          <w:sz w:val="28"/>
          <w:szCs w:val="28"/>
          <w:lang w:val="vi-VN"/>
        </w:rPr>
        <w:t xml:space="preserve"> </w:t>
      </w:r>
      <w:r w:rsidRPr="00AA1C51">
        <w:rPr>
          <w:bCs/>
          <w:color w:val="000000" w:themeColor="text1"/>
          <w:sz w:val="28"/>
          <w:szCs w:val="28"/>
          <w:lang w:val="nl-NL"/>
        </w:rPr>
        <w:t xml:space="preserve">- Năm 2021, triển khai 01 cuộc thanh tra việc chấp hành pháp luật về khoáng sản trong hoạt động khai thác than tại tỉnh Quảng Ninh; Kiểm tra hoạt động khai thác khoáng sản, bảo vệ môi trường trong hoạt động khai thác khoáng sản tại tỉnh Phú Thọ; triển khai các cuộc kiểm tra đột xuất hoạt động khoáng sản tại các tỉnh Hà Giang, Bắc Kạn, Hà Nội, Phú Thọ, Thái Nguyên, Lào Cai. </w:t>
      </w:r>
      <w:r w:rsidRPr="00AA1C51">
        <w:rPr>
          <w:color w:val="000000" w:themeColor="text1"/>
          <w:sz w:val="28"/>
          <w:szCs w:val="28"/>
          <w:lang w:val="nl-NL"/>
        </w:rPr>
        <w:t>Kết quả thực hiện, các Đoàn kiểm tra đã lập Biên bản vi phạm hành chính và chuyển đến người có thẩm quyền xử phạt theo quy định đối với 09 tổ chức với tổng số tiền xử phạt là 1.385 triệu đồng.</w:t>
      </w:r>
    </w:p>
    <w:p w14:paraId="4A019FED" w14:textId="77777777" w:rsidR="00C62578" w:rsidRPr="00AA1C51" w:rsidRDefault="00C62578" w:rsidP="00035B48">
      <w:pPr>
        <w:shd w:val="clear" w:color="auto" w:fill="FFFFFF"/>
        <w:spacing w:before="120" w:line="360" w:lineRule="exact"/>
        <w:ind w:firstLine="720"/>
        <w:jc w:val="both"/>
        <w:rPr>
          <w:color w:val="000000" w:themeColor="text1"/>
          <w:sz w:val="28"/>
          <w:szCs w:val="28"/>
          <w:lang w:val="nl-NL"/>
        </w:rPr>
      </w:pPr>
      <w:r w:rsidRPr="00AA1C51">
        <w:rPr>
          <w:bCs/>
          <w:color w:val="000000" w:themeColor="text1"/>
          <w:sz w:val="28"/>
          <w:szCs w:val="28"/>
          <w:lang w:val="nl-NL"/>
        </w:rPr>
        <w:t>- Năm 2022, triển khai 04 cuộc kiểm tra theo kế hoạch gồm:</w:t>
      </w:r>
      <w:r w:rsidRPr="00AA1C51">
        <w:rPr>
          <w:color w:val="000000" w:themeColor="text1"/>
          <w:sz w:val="28"/>
          <w:szCs w:val="28"/>
          <w:lang w:val="nl-NL"/>
        </w:rPr>
        <w:t xml:space="preserve"> Kiểm tra hoạt động khai thác khoáng sản, bảo vệ môi trường trong hoạt động khai thác khoáng sản trên địa bàn tỉnh Hòa Bình, Thanh Hóa; Kiểm tra việc chấp hành quy định của pháp luật về khoáng sản đối với các tổ chức hoạt động thăm dò, khai thác khoáng sản tại tỉnh Bắc Kạn; Kiểm tra công tác quản lý, cấp phép hoạt động khoáng sản làm vật liệu xây dựng thông thường và kiểm tra việc chấp hành pháp luật về khoáng sản, bảo vệ môi trường trong khai thác khoáng sản trên địa bàn tỉnh Cao Bằng. Kiểm tra đột xuất 11 cuộc tại các tỉnh Thái Nguyên, Ninh Bình, Nghệ An, Lào Cai, Hải Dương, Hà Nam và Tuyên Quang. Kết quả thực hiện, các Đoàn kiểm tra đã lập Biên bản vi phạm hành chính và chuyển đến người có thẩm quyền xử phạt theo quy định đối với 28 tổ chức với tổng số tiền xử phạt là 8.573 triệu đồng.</w:t>
      </w:r>
    </w:p>
    <w:p w14:paraId="3B612B21" w14:textId="0EC474FE" w:rsidR="00C62578" w:rsidRPr="00AA1C51" w:rsidRDefault="00C62578" w:rsidP="00035B48">
      <w:pPr>
        <w:shd w:val="clear" w:color="auto" w:fill="FFFFFF"/>
        <w:spacing w:before="120" w:line="360" w:lineRule="exact"/>
        <w:ind w:firstLine="720"/>
        <w:jc w:val="both"/>
        <w:rPr>
          <w:color w:val="000000" w:themeColor="text1"/>
          <w:sz w:val="28"/>
          <w:szCs w:val="28"/>
          <w:lang w:val="nl-NL"/>
        </w:rPr>
      </w:pPr>
      <w:r w:rsidRPr="00AA1C51">
        <w:rPr>
          <w:bCs/>
          <w:color w:val="000000" w:themeColor="text1"/>
          <w:sz w:val="28"/>
          <w:szCs w:val="28"/>
          <w:lang w:val="nl-NL"/>
        </w:rPr>
        <w:t xml:space="preserve">- Năm 2023, triển khai các cuộc kiểm tra theo kế hoạch là 05 cuộc gồm: kiểm tra việc chấp hành pháp luật về khoáng sản trong hoạt động thăm dò, khai thác khoáng sản đối với các Giấy phép do Bộ Tài nguyên và Môi trường cấp tại tỉnh Yên Bái và đối với Tổng Công ty Đông Bắc tại tỉnh Quảng Ninh; kiểm tra hoạt động khai thác khoáng sản, bảo vệ môi trường trong hoạt động khoáng sản tại tỉnh Hà Giang, Lào Cai, Lạng Sơn và Hà Tĩnh; thực hiện 02 cuộc kiểm tra đột xuất về việc chấp hành pháp luật về khoáng sản trong hoạt động khai thác quặng sắt tại mỏ Bản Quân và </w:t>
      </w:r>
      <w:r w:rsidRPr="00AA1C51">
        <w:rPr>
          <w:color w:val="000000" w:themeColor="text1"/>
          <w:sz w:val="28"/>
          <w:szCs w:val="28"/>
          <w:lang w:val="nl-NL"/>
        </w:rPr>
        <w:t xml:space="preserve">kiểm tra việc chấp hành pháp luật về khoáng sản trong hoạt động khai thác quặng đồng của Tổng Công ty Khoáng sản TKV - CTCP. Kết quả thực hiện, các Đoàn kiểm tra đã lập Biên bản vi phạm hành chính và chuyển đến người có thẩm quyền xử phạt theo quy định, gồm: 06 Biên bản VPHC đề nghị Thanh tra Bộ xử phạt, Thanh tra Bộ đã ban hành 04 Quyết định xử phạt VPHC, 04 Biên bản VPHC đề nghị Chủ tịch UBND tỉnh Yên Bái xử phạt, đã ban hành 04 Quyết định xử phạt VPHC, 08 Biên bản VPHC đề nghị Chánh Thanh tra Sở </w:t>
      </w:r>
      <w:r w:rsidRPr="00AA1C51">
        <w:rPr>
          <w:color w:val="000000" w:themeColor="text1"/>
          <w:sz w:val="28"/>
          <w:szCs w:val="28"/>
          <w:lang w:val="nl-NL"/>
        </w:rPr>
        <w:lastRenderedPageBreak/>
        <w:t>Tài nguyên và Môi trường tỉnh Yên Bái đã ban hành 07 Quyết định xử phạt VPHC với tổng số tiền xử phạt là 2.678 triệu đồng.</w:t>
      </w:r>
    </w:p>
    <w:p w14:paraId="19C05746" w14:textId="77777777" w:rsidR="00C62578" w:rsidRPr="00AA1C51" w:rsidRDefault="00C62578" w:rsidP="00035B48">
      <w:pPr>
        <w:shd w:val="clear" w:color="auto" w:fill="FFFFFF"/>
        <w:spacing w:before="120" w:line="360" w:lineRule="exact"/>
        <w:ind w:firstLine="720"/>
        <w:jc w:val="both"/>
        <w:rPr>
          <w:bCs/>
          <w:color w:val="000000" w:themeColor="text1"/>
          <w:sz w:val="28"/>
          <w:szCs w:val="28"/>
          <w:lang w:val="nl-NL"/>
        </w:rPr>
      </w:pPr>
      <w:r w:rsidRPr="00AA1C51">
        <w:rPr>
          <w:bCs/>
          <w:color w:val="000000" w:themeColor="text1"/>
          <w:sz w:val="28"/>
          <w:szCs w:val="28"/>
          <w:lang w:val="nl-NL"/>
        </w:rPr>
        <w:t>- Năm 2024, triển khai các cuộc kiểm tra theo kế hoạch là 04 cuộc, gồm: 01 cuộc kiểm tra định kỳ việc chấp hành các quy định của pháp luật về khoáng sản đối với các tổ chức hoạt động thăm dò và khai thác khoáng sản tại tỉnh Nghệ An và 03 cuộc kiểm tra hoạt động khoáng sản, bảo vệ môi trường trong khai thác khoáng sản tại các tỉnh Thái Nguyên, Hà Nam và Tuyên Quang. Kết quả thực hiện, Phòng PCKS đã phối hợp với Thanh tra Bộ Tài nguyên và Môi trường, chính quyền địa phương để xác minh, xử lý vi phạm hành chính đối với các trường hợp có vi phạm với tổng số tiền 7.960 triệu đồng/29 quyết định xử phạt. Các Đoàn kiểm tra đã báo cáo và được Lãnh đạo Bộ Tài nguyên và Môi trường chấp thuận, giao Cục ký ban hành các Thông báo kết quả kiểm tra để yêu cầu doanh nghiệp khắc phục tồn tại, vi phạm và hoàn thiện báo cáo kết quả kiểm tra trình Lãnh đạo Bộ xem xét, ban hành.</w:t>
      </w:r>
    </w:p>
    <w:p w14:paraId="2D940BB5" w14:textId="77777777" w:rsidR="00C62578" w:rsidRPr="00AA1C51" w:rsidRDefault="00C62578" w:rsidP="00035B48">
      <w:pPr>
        <w:shd w:val="clear" w:color="auto" w:fill="FFFFFF"/>
        <w:spacing w:before="120" w:line="360" w:lineRule="exact"/>
        <w:ind w:firstLine="720"/>
        <w:jc w:val="both"/>
        <w:rPr>
          <w:bCs/>
          <w:color w:val="000000" w:themeColor="text1"/>
          <w:sz w:val="28"/>
          <w:szCs w:val="28"/>
          <w:lang w:val="nl-NL"/>
        </w:rPr>
      </w:pPr>
      <w:r w:rsidRPr="00AA1C51">
        <w:rPr>
          <w:bCs/>
          <w:color w:val="000000" w:themeColor="text1"/>
          <w:sz w:val="28"/>
          <w:szCs w:val="28"/>
          <w:lang w:val="nl-NL"/>
        </w:rPr>
        <w:t>- 06 tháng đầu năm 2025, Bộ đã triển khai 01 cuộc kiểm tra hậu kiểm việc thực hiện kết luận thanh tra về khoáng sản đối với một số đơn vị thuộc Tập đoàn Công nghiệp Than - Khoáng sản Việt Nam. Kết quả cho thấy, Tập đoàn đã có bản khắc phục các nội dung yêu cầu tại kết luận thanh tra.</w:t>
      </w:r>
    </w:p>
    <w:p w14:paraId="02E0DA72" w14:textId="75F7C510" w:rsidR="00C62578" w:rsidRPr="00AA1C51" w:rsidRDefault="00C62578" w:rsidP="00035B48">
      <w:pPr>
        <w:shd w:val="clear" w:color="auto" w:fill="FFFFFF"/>
        <w:spacing w:before="120" w:line="360" w:lineRule="exact"/>
        <w:ind w:firstLine="720"/>
        <w:jc w:val="both"/>
        <w:rPr>
          <w:bCs/>
          <w:color w:val="000000" w:themeColor="text1"/>
          <w:sz w:val="28"/>
          <w:szCs w:val="28"/>
          <w:lang w:val="nl-NL"/>
        </w:rPr>
      </w:pPr>
      <w:r w:rsidRPr="00AA1C51">
        <w:rPr>
          <w:bCs/>
          <w:color w:val="000000" w:themeColor="text1"/>
          <w:sz w:val="28"/>
          <w:szCs w:val="28"/>
          <w:lang w:val="nl-NL"/>
        </w:rPr>
        <w:t>Ngoài các cuộc kiểm tra theo kế hoạch hàng năm được Bộ Tài nguyên và Môi trường phê duyệt như đã nêu trên, Tổng cục Địa chất và Khoáng sản Việt Nam, Cục Khoáng sản Việt Nam (trước đây) đã tiến hành nhiều cuộc kiểm tra đột xuất theo yêu cầu quản lý để kịp thời ngăn chặn, phát hiện và xử lý vi phạm theo quy định.</w:t>
      </w:r>
    </w:p>
    <w:p w14:paraId="0728FBDE" w14:textId="77777777" w:rsidR="00C62578" w:rsidRPr="00AA1C51" w:rsidRDefault="00C62578" w:rsidP="00035B48">
      <w:pPr>
        <w:shd w:val="clear" w:color="auto" w:fill="FFFFFF"/>
        <w:spacing w:before="120" w:line="360" w:lineRule="exact"/>
        <w:ind w:firstLine="720"/>
        <w:jc w:val="both"/>
        <w:rPr>
          <w:bCs/>
          <w:i/>
          <w:iCs/>
          <w:color w:val="000000" w:themeColor="text1"/>
          <w:sz w:val="28"/>
          <w:szCs w:val="28"/>
          <w:lang w:val="nl-NL"/>
        </w:rPr>
      </w:pPr>
      <w:r w:rsidRPr="00AA1C51">
        <w:rPr>
          <w:bCs/>
          <w:i/>
          <w:iCs/>
          <w:color w:val="000000" w:themeColor="text1"/>
          <w:sz w:val="28"/>
          <w:szCs w:val="28"/>
          <w:lang w:val="nl-NL"/>
        </w:rPr>
        <w:t>b</w:t>
      </w:r>
      <w:r w:rsidRPr="00AA1C51">
        <w:rPr>
          <w:bCs/>
          <w:i/>
          <w:iCs/>
          <w:color w:val="000000" w:themeColor="text1"/>
          <w:sz w:val="28"/>
          <w:szCs w:val="28"/>
          <w:lang w:val="vi-VN"/>
        </w:rPr>
        <w:t xml:space="preserve">) </w:t>
      </w:r>
      <w:r w:rsidRPr="00AA1C51">
        <w:rPr>
          <w:bCs/>
          <w:i/>
          <w:iCs/>
          <w:color w:val="000000" w:themeColor="text1"/>
          <w:sz w:val="28"/>
          <w:szCs w:val="28"/>
          <w:lang w:val="nl-NL"/>
        </w:rPr>
        <w:t xml:space="preserve">Về phía các địa phương, bộ ngành có liên quan </w:t>
      </w:r>
    </w:p>
    <w:p w14:paraId="4A532CD2" w14:textId="77777777" w:rsidR="00C62578" w:rsidRPr="00AA1C51" w:rsidRDefault="00C62578" w:rsidP="00035B48">
      <w:pPr>
        <w:shd w:val="clear" w:color="auto" w:fill="FFFFFF"/>
        <w:spacing w:before="120" w:line="360" w:lineRule="exact"/>
        <w:ind w:firstLine="720"/>
        <w:jc w:val="both"/>
        <w:rPr>
          <w:bCs/>
          <w:i/>
          <w:iCs/>
          <w:color w:val="000000" w:themeColor="text1"/>
          <w:sz w:val="28"/>
          <w:szCs w:val="28"/>
          <w:lang w:val="vi-VN"/>
        </w:rPr>
      </w:pPr>
      <w:r w:rsidRPr="00AA1C51">
        <w:rPr>
          <w:bCs/>
          <w:i/>
          <w:iCs/>
          <w:color w:val="000000" w:themeColor="text1"/>
          <w:sz w:val="28"/>
          <w:szCs w:val="28"/>
          <w:lang w:val="vi-VN"/>
        </w:rPr>
        <w:t>-</w:t>
      </w:r>
      <w:r w:rsidRPr="00AA1C51">
        <w:rPr>
          <w:bCs/>
          <w:i/>
          <w:iCs/>
          <w:color w:val="000000" w:themeColor="text1"/>
          <w:sz w:val="28"/>
          <w:szCs w:val="28"/>
          <w:lang w:val="nl-NL"/>
        </w:rPr>
        <w:t xml:space="preserve"> Năm 2020</w:t>
      </w:r>
      <w:r w:rsidRPr="00AA1C51">
        <w:rPr>
          <w:bCs/>
          <w:i/>
          <w:iCs/>
          <w:color w:val="000000" w:themeColor="text1"/>
          <w:sz w:val="28"/>
          <w:szCs w:val="28"/>
          <w:lang w:val="vi-VN"/>
        </w:rPr>
        <w:t>:</w:t>
      </w:r>
    </w:p>
    <w:p w14:paraId="73EB5575" w14:textId="77777777" w:rsidR="00C62578" w:rsidRPr="00AA1C51" w:rsidRDefault="00C62578" w:rsidP="00035B48">
      <w:pPr>
        <w:spacing w:before="120" w:line="360" w:lineRule="exact"/>
        <w:ind w:firstLine="720"/>
        <w:jc w:val="both"/>
        <w:rPr>
          <w:b/>
          <w:bCs/>
          <w:i/>
          <w:iCs/>
          <w:color w:val="000000" w:themeColor="text1"/>
          <w:sz w:val="28"/>
          <w:szCs w:val="28"/>
          <w:lang w:val="vi-VN"/>
        </w:rPr>
      </w:pPr>
      <w:r w:rsidRPr="00AA1C51">
        <w:rPr>
          <w:color w:val="000000" w:themeColor="text1"/>
          <w:sz w:val="28"/>
          <w:szCs w:val="28"/>
          <w:lang w:val="vi-VN"/>
        </w:rPr>
        <w:t xml:space="preserve">+ </w:t>
      </w:r>
      <w:r w:rsidRPr="00AA1C51">
        <w:rPr>
          <w:color w:val="000000" w:themeColor="text1"/>
          <w:sz w:val="28"/>
          <w:szCs w:val="28"/>
          <w:lang w:val="nl-NL"/>
        </w:rPr>
        <w:t>T</w:t>
      </w:r>
      <w:r w:rsidRPr="00AA1C51">
        <w:rPr>
          <w:color w:val="000000" w:themeColor="text1"/>
          <w:sz w:val="28"/>
          <w:szCs w:val="28"/>
          <w:lang w:val="vi-VN"/>
        </w:rPr>
        <w:t>riển khai thực hiện kế hoạch, Bộ Công an đã kiểm tra phát hiện 6.569 vụ vi phạm pháp luật liên quan đến hoạt động khai thác, vận chuyển, tập kết, kinh doanh khoáng sản. Xử phạt vi phạm hành chính 6.472 vụ /7.013 đối tượng với tổng số tiền xử phạt trên 75,6 tỷ đồng; tạm giữ, tịch thu: 1.515 công cụ, phương tiện (gồm tàu, thuyền, ôtô, vòi, ống hút...), 30.282.499 m</w:t>
      </w:r>
      <w:r w:rsidRPr="00AA1C51">
        <w:rPr>
          <w:color w:val="000000" w:themeColor="text1"/>
          <w:sz w:val="28"/>
          <w:szCs w:val="28"/>
          <w:vertAlign w:val="superscript"/>
          <w:lang w:val="vi-VN"/>
        </w:rPr>
        <w:t>3</w:t>
      </w:r>
      <w:r w:rsidRPr="00AA1C51">
        <w:rPr>
          <w:color w:val="000000" w:themeColor="text1"/>
          <w:sz w:val="28"/>
          <w:szCs w:val="28"/>
          <w:lang w:val="vi-VN"/>
        </w:rPr>
        <w:t xml:space="preserve"> cát, 3.882 m</w:t>
      </w:r>
      <w:r w:rsidRPr="00AA1C51">
        <w:rPr>
          <w:color w:val="000000" w:themeColor="text1"/>
          <w:sz w:val="28"/>
          <w:szCs w:val="28"/>
          <w:vertAlign w:val="superscript"/>
          <w:lang w:val="vi-VN"/>
        </w:rPr>
        <w:t>3</w:t>
      </w:r>
      <w:r w:rsidRPr="00AA1C51">
        <w:rPr>
          <w:color w:val="000000" w:themeColor="text1"/>
          <w:sz w:val="28"/>
          <w:szCs w:val="28"/>
          <w:lang w:val="vi-VN"/>
        </w:rPr>
        <w:t xml:space="preserve"> đá, 8005 viên đá, 42 tảng đá xanh, 15.283 tấn khoáng sản các loại, 2.864 m</w:t>
      </w:r>
      <w:r w:rsidRPr="00AA1C51">
        <w:rPr>
          <w:color w:val="000000" w:themeColor="text1"/>
          <w:sz w:val="28"/>
          <w:szCs w:val="28"/>
          <w:vertAlign w:val="superscript"/>
          <w:lang w:val="vi-VN"/>
        </w:rPr>
        <w:t>3</w:t>
      </w:r>
      <w:r w:rsidRPr="00AA1C51">
        <w:rPr>
          <w:color w:val="000000" w:themeColor="text1"/>
          <w:sz w:val="28"/>
          <w:szCs w:val="28"/>
          <w:lang w:val="vi-VN"/>
        </w:rPr>
        <w:t xml:space="preserve"> đất. </w:t>
      </w:r>
    </w:p>
    <w:p w14:paraId="263A70FA"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 Theo số liệu báo cáo của 60/63 tỉnh, thành phố, qua thanh tra, kiểm tra đã phát hiện 3.126 trường hợp vi phạm pháp luật về khoáng sản (kể cả khai thác có phép và không phép), tổng số tiền đã xử phạt là 93,8 tỷ đồng. Đồng thời, các địa phương còn xử lý truy thu 177,63 tỷ đồng từ nghĩa vụ tài chính mà doanh nghiệp phải thực hiện và truy thu từ bán đấu giá tang vật vi phạm (trong đó riêng thành phố Hải Phòng truy thu nộp ngân sách nhà nước 173,1 tỷ đồng); thu giữ, xử lý khối lượng lớn khoáng sản, phương tiện sử dụng để khai thác trái phép; đình </w:t>
      </w:r>
      <w:r w:rsidRPr="00AA1C51">
        <w:rPr>
          <w:color w:val="000000" w:themeColor="text1"/>
          <w:sz w:val="28"/>
          <w:szCs w:val="28"/>
          <w:lang w:val="vi-VN"/>
        </w:rPr>
        <w:lastRenderedPageBreak/>
        <w:t xml:space="preserve">chỉ hoạt động khai thác hoặc tước quyền sử dụng giấy phép khai thác có thời hạn đối với nhiều tổ chức, cá nhân có hành vi vi phạm pháp luật về khoáng sản. </w:t>
      </w:r>
    </w:p>
    <w:p w14:paraId="2B0CE9E2" w14:textId="77777777" w:rsidR="00C62578" w:rsidRPr="00AA1C51" w:rsidRDefault="00C62578" w:rsidP="00035B48">
      <w:pPr>
        <w:spacing w:before="120" w:line="360" w:lineRule="exact"/>
        <w:ind w:firstLine="720"/>
        <w:jc w:val="both"/>
        <w:rPr>
          <w:i/>
          <w:iCs/>
          <w:color w:val="000000" w:themeColor="text1"/>
          <w:sz w:val="28"/>
          <w:szCs w:val="28"/>
          <w:lang w:val="vi-VN"/>
        </w:rPr>
      </w:pPr>
      <w:r w:rsidRPr="00AA1C51">
        <w:rPr>
          <w:i/>
          <w:iCs/>
          <w:color w:val="000000" w:themeColor="text1"/>
          <w:sz w:val="28"/>
          <w:szCs w:val="28"/>
          <w:lang w:val="vi-VN"/>
        </w:rPr>
        <w:t>- Năm 2021:</w:t>
      </w:r>
    </w:p>
    <w:p w14:paraId="29754C62"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Thực hiện chức năng, nhiệm vụ được giao, các Bộ: Công an, Quốc phòng, đã tiến hành một số cuộc thanh tra, kiểm tra liên quan đến lĩnh vực khoáng sản theo thẩm quyền. Theo đó:</w:t>
      </w:r>
    </w:p>
    <w:p w14:paraId="140017CF"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 Các đơn vị của Bộ Công an và công an các địa phương đã triển khai thực hiện kế hoạch kiểm tra, phát hiện 3.655 vụ/3.472 đối tượng vi phạm pháp luật liên quan đến hoạt động khai thác, vận chuyển, tập kết bến bãi kinh doanh khoáng sản (giảm 55,6% so với năm 2020). Xử phạt vi phạm hành chính với tổng số tiền xử phạt trên 67,9 tỷ đồng, khởi tố 92 vụ/158 đối tượng; </w:t>
      </w:r>
    </w:p>
    <w:p w14:paraId="629E0942"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Lực lượng chức năng trong Quân đội kiểm tra, tạm giữ, xử lý 186 vụ/324 đối tượng/177 phương tiện vi phạm (xử phạt vi phạm hành chính 128 vụ/204 đối tượng với 106 phương tiện, tổng số tiền xử phạt vi phạm hành chính và giá trị tang vật bị tịch thu trên 08 tỷ đồng).</w:t>
      </w:r>
    </w:p>
    <w:p w14:paraId="63D6177E"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Theo số liệu báo cáo của 53/63 tỉnh, thành phố, qua thanh tra, kiểm tra đã phát hiện 3.509 trường hợp vi phạm pháp luật về khoáng sản (kể cả khai thác có phép và không phép), tổng số tiền đã xử phạt là 83,061 tỷ đồng. Đồng thời, các địa phương còn xử lý truy thu 27,737 tỷ đồng; thu giữ, xử lý khối lượng lớn khoáng sản, phương tiện sử dụng để khai thác trái phép; đình chỉ hoạt động khai thác hoặc tước quyền sử dụng giấy phép khai thác có thời hạn đối với nhiều tổ chức, cá nhân có hành vi vi phạm pháp luật về khoáng sản. </w:t>
      </w:r>
    </w:p>
    <w:p w14:paraId="275039E8" w14:textId="77777777" w:rsidR="00C62578" w:rsidRPr="00AA1C51" w:rsidRDefault="00C62578" w:rsidP="00035B48">
      <w:pPr>
        <w:spacing w:before="120" w:line="360" w:lineRule="exact"/>
        <w:ind w:firstLine="720"/>
        <w:jc w:val="both"/>
        <w:rPr>
          <w:i/>
          <w:iCs/>
          <w:color w:val="000000" w:themeColor="text1"/>
          <w:sz w:val="28"/>
          <w:szCs w:val="28"/>
          <w:lang w:val="vi-VN"/>
        </w:rPr>
      </w:pPr>
      <w:r w:rsidRPr="00AA1C51">
        <w:rPr>
          <w:i/>
          <w:iCs/>
          <w:color w:val="000000" w:themeColor="text1"/>
          <w:sz w:val="28"/>
          <w:szCs w:val="28"/>
          <w:lang w:val="vi-VN"/>
        </w:rPr>
        <w:t>-  Năm 2022</w:t>
      </w:r>
    </w:p>
    <w:p w14:paraId="4BCA39CB"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Bộ Công an: Đã phát hiện 4.457 vụ vi phạm pháp luật liên quan đến hoạt động khai thác, vận chuyển, tập kết bến bãi kinh doanh khoáng sản và xử phạt vi phạm hành chính 4.366/9.126 đối tượng với tổng số tiền xử phạt là 91,017 tỷ đồng.</w:t>
      </w:r>
    </w:p>
    <w:p w14:paraId="281809A6"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Bộ Quốc phòng (lực lượng chức năng trong quân đội): Đã phát hiện và xử lý 152vụ/05 tàu/358 đối tượng; tạm giữ 806,5 tấn than, 34.393,3m</w:t>
      </w:r>
      <w:r w:rsidRPr="00AA1C51">
        <w:rPr>
          <w:color w:val="000000" w:themeColor="text1"/>
          <w:sz w:val="28"/>
          <w:szCs w:val="28"/>
          <w:vertAlign w:val="superscript"/>
          <w:lang w:val="vi-VN"/>
        </w:rPr>
        <w:t>3</w:t>
      </w:r>
      <w:r w:rsidRPr="00AA1C51">
        <w:rPr>
          <w:color w:val="000000" w:themeColor="text1"/>
          <w:sz w:val="28"/>
          <w:szCs w:val="28"/>
          <w:lang w:val="vi-VN"/>
        </w:rPr>
        <w:t xml:space="preserve"> cát, 84kg quặng, 02 tấn đá xẻ (tang vật giá trị khoảng 3,14 tỷ đồng). Xử phạt vi phạm hành chính 149 vụ/345 đối tượng với tổng số tiền trên 11,5 tỷ đồng.</w:t>
      </w:r>
    </w:p>
    <w:p w14:paraId="3D36E42C"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 Tại các địa phương đã thực hiện 287 đợt thanh tra, kiểm tra đối với 852 tổ chức và 01 cá nhân, bao gồm: 15 cuộc thanh tra, 271 đợt kiểm tra; trong đó, có 120 cuộc thanh tra, kiểm tra chuyên đề hoạt động khai thác cát, sỏi; 63 cuộc thanh tra, kiểm tra chuyên đề hoạt động khai thác đá và VLXD; 04 cuộc thanh tra, kiểm tra chuyên đề thăm dò, khai thác nước khoáng; 02 cuộc thanh tra, kiểm tra chuyên đề khai thác khoáng sản kim loại và 98 cuộc thanh tra, kiểm tra các nội dung khác. </w:t>
      </w:r>
      <w:r w:rsidRPr="00AA1C51">
        <w:rPr>
          <w:color w:val="000000" w:themeColor="text1"/>
          <w:sz w:val="28"/>
          <w:szCs w:val="28"/>
          <w:lang w:val="vi-VN"/>
        </w:rPr>
        <w:lastRenderedPageBreak/>
        <w:t xml:space="preserve">Qua đó, đã phát hiện 259 tổ chức và 01 cá nhân vi phạm hành chính, ban hành 211 Quyết định xử phạt vi phạm hành chính với số tiền là 35.175 triệu đồng; truy thu số lợi bất hợp pháp với số tiền là 30 triệu đồng; thu hồi 10 Giấy phép khai thác khoáng sản. </w:t>
      </w:r>
    </w:p>
    <w:p w14:paraId="7DDC2EAB" w14:textId="77777777" w:rsidR="00C62578" w:rsidRPr="00AA1C51" w:rsidRDefault="00C62578" w:rsidP="00035B48">
      <w:pPr>
        <w:spacing w:before="120" w:line="360" w:lineRule="exact"/>
        <w:ind w:firstLine="720"/>
        <w:jc w:val="both"/>
        <w:rPr>
          <w:i/>
          <w:iCs/>
          <w:color w:val="000000" w:themeColor="text1"/>
          <w:sz w:val="28"/>
          <w:szCs w:val="28"/>
          <w:lang w:val="vi-VN"/>
        </w:rPr>
      </w:pPr>
      <w:r w:rsidRPr="00AA1C51">
        <w:rPr>
          <w:i/>
          <w:iCs/>
          <w:color w:val="000000" w:themeColor="text1"/>
          <w:sz w:val="28"/>
          <w:szCs w:val="28"/>
          <w:lang w:val="vi-VN"/>
        </w:rPr>
        <w:t>- Năm 2023</w:t>
      </w:r>
    </w:p>
    <w:p w14:paraId="02F7494A"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i/>
          <w:iCs/>
          <w:color w:val="000000" w:themeColor="text1"/>
          <w:sz w:val="28"/>
          <w:szCs w:val="28"/>
          <w:lang w:val="vi-VN"/>
        </w:rPr>
        <w:t>+ Tại các địa phương:</w:t>
      </w:r>
      <w:r w:rsidRPr="00AA1C51">
        <w:rPr>
          <w:color w:val="000000" w:themeColor="text1"/>
          <w:sz w:val="28"/>
          <w:szCs w:val="28"/>
          <w:lang w:val="vi-VN"/>
        </w:rPr>
        <w:t xml:space="preserve"> Sở Tài nguyên và Môi trường đã thực hiện các đợt thanh tra, kiểm tra đối với các tổ chức, cá nhân hoạt động khoáng sản; qua đó có 2.936 trường hợp vi phạm pháp luật về khoáng sản; xử phạt VPHC 168,86 tỷ đồng; tịch thu 44.624 m</w:t>
      </w:r>
      <w:r w:rsidRPr="00AA1C51">
        <w:rPr>
          <w:color w:val="000000" w:themeColor="text1"/>
          <w:sz w:val="28"/>
          <w:szCs w:val="28"/>
          <w:vertAlign w:val="superscript"/>
          <w:lang w:val="vi-VN"/>
        </w:rPr>
        <w:t>3</w:t>
      </w:r>
      <w:r w:rsidRPr="00AA1C51">
        <w:rPr>
          <w:color w:val="000000" w:themeColor="text1"/>
          <w:sz w:val="28"/>
          <w:szCs w:val="28"/>
          <w:lang w:val="vi-VN"/>
        </w:rPr>
        <w:t xml:space="preserve"> khoáng sản cát; truy thu bằng tiền số lợi bất hợp pháp 27,644 tỉ đồng.</w:t>
      </w:r>
    </w:p>
    <w:p w14:paraId="63C35666"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i/>
          <w:iCs/>
          <w:color w:val="000000" w:themeColor="text1"/>
          <w:sz w:val="28"/>
          <w:szCs w:val="28"/>
          <w:lang w:val="vi-VN"/>
        </w:rPr>
        <w:t>+ Bộ Công an:</w:t>
      </w:r>
      <w:r w:rsidRPr="00AA1C51">
        <w:rPr>
          <w:color w:val="000000" w:themeColor="text1"/>
          <w:sz w:val="28"/>
          <w:szCs w:val="28"/>
          <w:lang w:val="vi-VN"/>
        </w:rPr>
        <w:t xml:space="preserve"> </w:t>
      </w:r>
      <w:r w:rsidRPr="00AA1C51">
        <w:rPr>
          <w:rStyle w:val="Bodytext2"/>
          <w:color w:val="000000" w:themeColor="text1"/>
          <w:sz w:val="28"/>
          <w:szCs w:val="28"/>
          <w:lang w:val="vi-VN"/>
        </w:rPr>
        <w:t xml:space="preserve">đã kiểm tra phát hiện </w:t>
      </w:r>
      <w:r w:rsidRPr="00AA1C51">
        <w:rPr>
          <w:rStyle w:val="Bodytext2Bold"/>
          <w:rFonts w:eastAsiaTheme="majorEastAsia"/>
          <w:color w:val="000000" w:themeColor="text1"/>
          <w:sz w:val="28"/>
          <w:szCs w:val="28"/>
          <w:lang w:val="vi-VN"/>
        </w:rPr>
        <w:t xml:space="preserve">7.603 </w:t>
      </w:r>
      <w:r w:rsidRPr="00AA1C51">
        <w:rPr>
          <w:rStyle w:val="Bodytext2Italic"/>
          <w:b/>
          <w:bCs/>
          <w:color w:val="000000" w:themeColor="text1"/>
          <w:sz w:val="28"/>
          <w:szCs w:val="28"/>
          <w:lang w:val="vi-VN"/>
        </w:rPr>
        <w:t>(</w:t>
      </w:r>
      <w:r w:rsidRPr="00AA1C51">
        <w:rPr>
          <w:rStyle w:val="Bodytext2Italic"/>
          <w:color w:val="000000" w:themeColor="text1"/>
          <w:sz w:val="28"/>
          <w:szCs w:val="28"/>
          <w:lang w:val="vi-VN"/>
        </w:rPr>
        <w:t>tăng 59,5% so với năm 2022)</w:t>
      </w:r>
      <w:r w:rsidRPr="00AA1C51">
        <w:rPr>
          <w:rStyle w:val="Bodytext2"/>
          <w:color w:val="000000" w:themeColor="text1"/>
          <w:sz w:val="28"/>
          <w:szCs w:val="28"/>
          <w:lang w:val="vi-VN"/>
        </w:rPr>
        <w:t xml:space="preserve"> vụ vi phạm pháp luật liên quan đến hoạt động khai thác, vận chuyển, tập kết bến bãi kinh doanh khoáng sản với tổng số tiền xử phạt trên 865.205 triệu đồng. Tịch thu nhiều tang vật (than, cát, đá) và phương tiện (ôtô, máy múc, tàu hút, máy nổ...) dùng để thực hiện hành vi vi phạm. </w:t>
      </w:r>
    </w:p>
    <w:p w14:paraId="57D681F0" w14:textId="77777777" w:rsidR="00C62578" w:rsidRPr="00AA1C51" w:rsidRDefault="00C62578" w:rsidP="00035B48">
      <w:pPr>
        <w:spacing w:before="120" w:line="360" w:lineRule="exact"/>
        <w:ind w:firstLine="720"/>
        <w:jc w:val="both"/>
        <w:rPr>
          <w:rStyle w:val="Bodytext2"/>
          <w:color w:val="000000" w:themeColor="text1"/>
          <w:sz w:val="28"/>
          <w:szCs w:val="28"/>
        </w:rPr>
      </w:pPr>
      <w:r w:rsidRPr="00AA1C51">
        <w:rPr>
          <w:i/>
          <w:iCs/>
          <w:color w:val="000000" w:themeColor="text1"/>
          <w:sz w:val="28"/>
          <w:szCs w:val="28"/>
          <w:lang w:val="vi-VN"/>
        </w:rPr>
        <w:t>+ Bộ Quốc phòng:</w:t>
      </w:r>
      <w:r w:rsidRPr="00AA1C51">
        <w:rPr>
          <w:color w:val="000000" w:themeColor="text1"/>
          <w:sz w:val="28"/>
          <w:szCs w:val="28"/>
          <w:lang w:val="vi-VN"/>
        </w:rPr>
        <w:t xml:space="preserve"> </w:t>
      </w:r>
      <w:r w:rsidRPr="00AA1C51">
        <w:rPr>
          <w:rStyle w:val="Bodytext2"/>
          <w:color w:val="000000" w:themeColor="text1"/>
          <w:sz w:val="28"/>
          <w:szCs w:val="28"/>
          <w:lang w:val="vi-VN"/>
        </w:rPr>
        <w:t xml:space="preserve">Các đơn vị đã chủ trì phát hiện, bắt giữ, xử lý 146 vụ/342 đối tượng. </w:t>
      </w:r>
      <w:r w:rsidRPr="00AA1C51">
        <w:rPr>
          <w:rStyle w:val="Bodytext2"/>
          <w:color w:val="000000" w:themeColor="text1"/>
          <w:sz w:val="28"/>
          <w:szCs w:val="28"/>
        </w:rPr>
        <w:t>Tang vật thu giữ: 1.939,95 tấn than, 26.135 m</w:t>
      </w:r>
      <w:r w:rsidRPr="00AA1C51">
        <w:rPr>
          <w:rStyle w:val="Bodytext2"/>
          <w:color w:val="000000" w:themeColor="text1"/>
          <w:sz w:val="28"/>
          <w:szCs w:val="28"/>
          <w:vertAlign w:val="superscript"/>
        </w:rPr>
        <w:t>3</w:t>
      </w:r>
      <w:r w:rsidRPr="00AA1C51">
        <w:rPr>
          <w:rStyle w:val="Bodytext2"/>
          <w:color w:val="000000" w:themeColor="text1"/>
          <w:sz w:val="28"/>
          <w:szCs w:val="28"/>
        </w:rPr>
        <w:t xml:space="preserve"> cát, 21 container quặng. Tổng số t</w:t>
      </w:r>
      <w:r w:rsidRPr="00AA1C51">
        <w:rPr>
          <w:rStyle w:val="Bodytext2"/>
          <w:color w:val="000000" w:themeColor="text1"/>
          <w:sz w:val="28"/>
          <w:szCs w:val="28"/>
          <w:lang w:val="vi-VN"/>
        </w:rPr>
        <w:t>iền</w:t>
      </w:r>
      <w:r w:rsidRPr="00AA1C51">
        <w:rPr>
          <w:rStyle w:val="Bodytext2"/>
          <w:color w:val="000000" w:themeColor="text1"/>
          <w:sz w:val="28"/>
          <w:szCs w:val="28"/>
        </w:rPr>
        <w:t xml:space="preserve"> xử phạt vi phạm hành chính và giá trị tang vật tịch thu ước tính khoảng g</w:t>
      </w:r>
      <w:r w:rsidRPr="00AA1C51">
        <w:rPr>
          <w:rStyle w:val="Bodytext2"/>
          <w:color w:val="000000" w:themeColor="text1"/>
          <w:sz w:val="28"/>
          <w:szCs w:val="28"/>
          <w:lang w:val="vi-VN"/>
        </w:rPr>
        <w:t>ầ</w:t>
      </w:r>
      <w:r w:rsidRPr="00AA1C51">
        <w:rPr>
          <w:rStyle w:val="Bodytext2"/>
          <w:color w:val="000000" w:themeColor="text1"/>
          <w:sz w:val="28"/>
          <w:szCs w:val="28"/>
        </w:rPr>
        <w:t>n 53,5 tỷ đồng.</w:t>
      </w:r>
      <w:r w:rsidRPr="00AA1C51">
        <w:rPr>
          <w:color w:val="000000" w:themeColor="text1"/>
          <w:sz w:val="28"/>
          <w:szCs w:val="28"/>
        </w:rPr>
        <w:t xml:space="preserve"> </w:t>
      </w:r>
      <w:r w:rsidRPr="00AA1C51">
        <w:rPr>
          <w:rStyle w:val="Bodytext2"/>
          <w:color w:val="000000" w:themeColor="text1"/>
          <w:sz w:val="28"/>
          <w:szCs w:val="28"/>
        </w:rPr>
        <w:t>Phối hợp với các lực lượng chức năng và chính quyền địa phương phát hiện, bắt giữ 18 vụ/48 đối tượng, tang vật thu giữ, tạm giữ 3.147,26 m</w:t>
      </w:r>
      <w:r w:rsidRPr="00AA1C51">
        <w:rPr>
          <w:rStyle w:val="Bodytext2"/>
          <w:color w:val="000000" w:themeColor="text1"/>
          <w:sz w:val="28"/>
          <w:szCs w:val="28"/>
          <w:vertAlign w:val="superscript"/>
        </w:rPr>
        <w:t>3</w:t>
      </w:r>
      <w:r w:rsidRPr="00AA1C51">
        <w:rPr>
          <w:rStyle w:val="Bodytext2"/>
          <w:color w:val="000000" w:themeColor="text1"/>
          <w:sz w:val="28"/>
          <w:szCs w:val="28"/>
        </w:rPr>
        <w:t xml:space="preserve"> cát.</w:t>
      </w:r>
    </w:p>
    <w:p w14:paraId="5B43C0D5" w14:textId="77777777" w:rsidR="00C62578" w:rsidRPr="00AA1C51" w:rsidRDefault="00C62578" w:rsidP="00035B48">
      <w:pPr>
        <w:spacing w:before="120" w:line="360" w:lineRule="exact"/>
        <w:ind w:firstLine="720"/>
        <w:jc w:val="both"/>
        <w:rPr>
          <w:i/>
          <w:iCs/>
          <w:color w:val="000000" w:themeColor="text1"/>
          <w:sz w:val="28"/>
          <w:szCs w:val="28"/>
        </w:rPr>
      </w:pPr>
      <w:r w:rsidRPr="00AA1C51">
        <w:rPr>
          <w:i/>
          <w:iCs/>
          <w:color w:val="000000" w:themeColor="text1"/>
          <w:sz w:val="28"/>
          <w:szCs w:val="28"/>
          <w:lang w:val="vi-VN"/>
        </w:rPr>
        <w:t>-</w:t>
      </w:r>
      <w:r w:rsidRPr="00AA1C51">
        <w:rPr>
          <w:i/>
          <w:iCs/>
          <w:color w:val="000000" w:themeColor="text1"/>
          <w:sz w:val="28"/>
          <w:szCs w:val="28"/>
        </w:rPr>
        <w:t xml:space="preserve"> Năm 2024</w:t>
      </w:r>
    </w:p>
    <w:p w14:paraId="514993C1" w14:textId="77777777" w:rsidR="00C62578" w:rsidRPr="00AA1C51" w:rsidRDefault="00C62578" w:rsidP="00035B48">
      <w:pPr>
        <w:spacing w:before="120" w:line="360" w:lineRule="exact"/>
        <w:ind w:firstLine="720"/>
        <w:jc w:val="both"/>
        <w:rPr>
          <w:rStyle w:val="Bodytext2"/>
          <w:color w:val="000000" w:themeColor="text1"/>
          <w:sz w:val="28"/>
          <w:szCs w:val="28"/>
          <w:lang w:val="vi-VN"/>
        </w:rPr>
      </w:pPr>
      <w:r w:rsidRPr="00AA1C51">
        <w:rPr>
          <w:i/>
          <w:iCs/>
          <w:color w:val="000000" w:themeColor="text1"/>
          <w:sz w:val="28"/>
          <w:szCs w:val="28"/>
          <w:lang w:val="vi-VN"/>
        </w:rPr>
        <w:t>+ Bộ Quốc phòng:</w:t>
      </w:r>
      <w:r w:rsidRPr="00AA1C51">
        <w:rPr>
          <w:rStyle w:val="Bodytext2"/>
          <w:color w:val="000000" w:themeColor="text1"/>
          <w:sz w:val="28"/>
          <w:szCs w:val="28"/>
          <w:lang w:val="vi-VN"/>
        </w:rPr>
        <w:t xml:space="preserve"> (</w:t>
      </w:r>
      <w:r w:rsidRPr="00AA1C51">
        <w:rPr>
          <w:rStyle w:val="Bodytext2"/>
          <w:color w:val="000000" w:themeColor="text1"/>
          <w:sz w:val="28"/>
          <w:szCs w:val="28"/>
        </w:rPr>
        <w:t>1</w:t>
      </w:r>
      <w:r w:rsidRPr="00AA1C51">
        <w:rPr>
          <w:rStyle w:val="Bodytext2"/>
          <w:color w:val="000000" w:themeColor="text1"/>
          <w:sz w:val="28"/>
          <w:szCs w:val="28"/>
          <w:lang w:val="vi-VN"/>
        </w:rPr>
        <w:t xml:space="preserve">) </w:t>
      </w:r>
      <w:r w:rsidRPr="00AA1C51">
        <w:rPr>
          <w:rStyle w:val="Bodytext2"/>
          <w:i/>
          <w:iCs/>
          <w:color w:val="000000" w:themeColor="text1"/>
          <w:sz w:val="28"/>
          <w:szCs w:val="28"/>
          <w:lang w:val="vi-VN"/>
        </w:rPr>
        <w:t>Các đơn vị Bộ đội biên phòng</w:t>
      </w:r>
      <w:r w:rsidRPr="00AA1C51">
        <w:rPr>
          <w:rStyle w:val="Bodytext2"/>
          <w:color w:val="000000" w:themeColor="text1"/>
          <w:sz w:val="28"/>
          <w:szCs w:val="28"/>
          <w:lang w:val="vi-VN"/>
        </w:rPr>
        <w:t xml:space="preserve"> đã chủ trì phát hiện xử lý 163 vụ/243 đối tượng; tạm giữ 10.305,37 tấn than, 17.354,27 m</w:t>
      </w:r>
      <w:r w:rsidRPr="00AA1C51">
        <w:rPr>
          <w:rStyle w:val="Bodytext2"/>
          <w:color w:val="000000" w:themeColor="text1"/>
          <w:sz w:val="28"/>
          <w:szCs w:val="28"/>
          <w:vertAlign w:val="superscript"/>
          <w:lang w:val="vi-VN"/>
        </w:rPr>
        <w:t>3</w:t>
      </w:r>
      <w:r w:rsidRPr="00AA1C51">
        <w:rPr>
          <w:rStyle w:val="Bodytext2"/>
          <w:color w:val="000000" w:themeColor="text1"/>
          <w:sz w:val="28"/>
          <w:szCs w:val="28"/>
          <w:lang w:val="vi-VN"/>
        </w:rPr>
        <w:t xml:space="preserve"> cát, 168,38 tấn đồng, 46,45 tấn tinh quặng kim loại, 1.147 viên đá xẻ; tang vật trị giá khoảng 57.857.719.001 đồng. Kết quả xử lý: kiến nghị khởi tố 02 vụ; xử phạt vi phạm hành chính 7.112.086.000 đồng với 158 vụ/243 đối tượng; đang điều tra xác minh 03 vụ/1.260 m</w:t>
      </w:r>
      <w:r w:rsidRPr="00AA1C51">
        <w:rPr>
          <w:rStyle w:val="Bodytext2"/>
          <w:color w:val="000000" w:themeColor="text1"/>
          <w:sz w:val="28"/>
          <w:szCs w:val="28"/>
          <w:vertAlign w:val="superscript"/>
          <w:lang w:val="vi-VN"/>
        </w:rPr>
        <w:t>3</w:t>
      </w:r>
      <w:r w:rsidRPr="00AA1C51">
        <w:rPr>
          <w:rStyle w:val="Bodytext2"/>
          <w:color w:val="000000" w:themeColor="text1"/>
          <w:sz w:val="28"/>
          <w:szCs w:val="28"/>
          <w:lang w:val="vi-VN"/>
        </w:rPr>
        <w:t xml:space="preserve"> cát, 40 tấn than. Phối hợp với các lực lượng chức năng khác và chính quyền địa phương phát hiện, bắt giữ 16 vụ/27 đối tượng, tang vật thu giữ 6.941m</w:t>
      </w:r>
      <w:r w:rsidRPr="00AA1C51">
        <w:rPr>
          <w:rStyle w:val="Bodytext2"/>
          <w:color w:val="000000" w:themeColor="text1"/>
          <w:sz w:val="28"/>
          <w:szCs w:val="28"/>
          <w:vertAlign w:val="superscript"/>
          <w:lang w:val="vi-VN"/>
        </w:rPr>
        <w:t>3</w:t>
      </w:r>
      <w:r w:rsidRPr="00AA1C51">
        <w:rPr>
          <w:rStyle w:val="Bodytext2"/>
          <w:color w:val="000000" w:themeColor="text1"/>
          <w:sz w:val="28"/>
          <w:szCs w:val="28"/>
          <w:lang w:val="vi-VN"/>
        </w:rPr>
        <w:t xml:space="preserve"> cát và 08m</w:t>
      </w:r>
      <w:r w:rsidRPr="00AA1C51">
        <w:rPr>
          <w:rStyle w:val="Bodytext2"/>
          <w:color w:val="000000" w:themeColor="text1"/>
          <w:sz w:val="28"/>
          <w:szCs w:val="28"/>
          <w:vertAlign w:val="superscript"/>
          <w:lang w:val="vi-VN"/>
        </w:rPr>
        <w:t xml:space="preserve">3 </w:t>
      </w:r>
      <w:r w:rsidRPr="00AA1C51">
        <w:rPr>
          <w:rStyle w:val="Bodytext2"/>
          <w:color w:val="000000" w:themeColor="text1"/>
          <w:sz w:val="28"/>
          <w:szCs w:val="28"/>
          <w:lang w:val="vi-VN"/>
        </w:rPr>
        <w:t xml:space="preserve">đất. (2) Lực lượng Cảnh sát biển chủ trì, phối hợp phát hiện, bắt giữ, xử lý 28 vụ/74 đối tượng </w:t>
      </w:r>
      <w:r w:rsidRPr="00AA1C51">
        <w:rPr>
          <w:rStyle w:val="Bodytext2"/>
          <w:i/>
          <w:iCs/>
          <w:color w:val="000000" w:themeColor="text1"/>
          <w:sz w:val="28"/>
          <w:szCs w:val="28"/>
          <w:lang w:val="vi-VN"/>
        </w:rPr>
        <w:t>(tăng 09 vụ/30 đối tượng so với năm 2023)</w:t>
      </w:r>
      <w:r w:rsidRPr="00AA1C51">
        <w:rPr>
          <w:rStyle w:val="Bodytext2"/>
          <w:color w:val="000000" w:themeColor="text1"/>
          <w:sz w:val="28"/>
          <w:szCs w:val="28"/>
          <w:lang w:val="vi-VN"/>
        </w:rPr>
        <w:t>/ Tang vật thu giữ: 10.049 tấn than, 17.437m</w:t>
      </w:r>
      <w:r w:rsidRPr="00AA1C51">
        <w:rPr>
          <w:rStyle w:val="Bodytext2"/>
          <w:color w:val="000000" w:themeColor="text1"/>
          <w:sz w:val="28"/>
          <w:szCs w:val="28"/>
          <w:vertAlign w:val="superscript"/>
          <w:lang w:val="vi-VN"/>
        </w:rPr>
        <w:t>3</w:t>
      </w:r>
      <w:r w:rsidRPr="00AA1C51">
        <w:rPr>
          <w:rStyle w:val="Bodytext2"/>
          <w:color w:val="000000" w:themeColor="text1"/>
          <w:sz w:val="28"/>
          <w:szCs w:val="28"/>
          <w:lang w:val="vi-VN"/>
        </w:rPr>
        <w:t xml:space="preserve"> cát. Tổng số tiền xử phạt vi phạm hành chính và giá trị tang vật tịch thu ước tính hơn 20 tỷ đồng.</w:t>
      </w:r>
    </w:p>
    <w:p w14:paraId="0EB62DEE"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i/>
          <w:iCs/>
          <w:color w:val="000000" w:themeColor="text1"/>
          <w:sz w:val="28"/>
          <w:szCs w:val="28"/>
          <w:lang w:val="vi-VN"/>
        </w:rPr>
        <w:t xml:space="preserve">+ Tại các địa phương: </w:t>
      </w:r>
      <w:r w:rsidRPr="00AA1C51">
        <w:rPr>
          <w:color w:val="000000" w:themeColor="text1"/>
          <w:sz w:val="28"/>
          <w:szCs w:val="28"/>
          <w:lang w:val="vi-VN"/>
        </w:rPr>
        <w:t xml:space="preserve">các Sở đã tiến hành 242 đoàn thanh tra, kiểm tra đối với 447 tổ chức, cá nhân. Qua thanh tra, kiểm tra đã phát hiện 26% số đối tượng được thanh tra có các hành vi vi phạm; các vi phạm chủ yếu tập trung vào các nội dung: lập báo cáo thống kê, kiểm kê trữ lượng khoáng sản còn lại trong khu vực được phép khai thác mà không đầy đủ thông tin theo mẫu do Bộ Tài nguyên và </w:t>
      </w:r>
      <w:r w:rsidRPr="00AA1C51">
        <w:rPr>
          <w:color w:val="000000" w:themeColor="text1"/>
          <w:sz w:val="28"/>
          <w:szCs w:val="28"/>
          <w:lang w:val="vi-VN"/>
        </w:rPr>
        <w:lastRenderedPageBreak/>
        <w:t>Môi trường quy định; khai thác không đúng thiết kế mỏ được phê duyệt; không nộp thiết kế mỏ; lập không đầy đủ sổ sách, chứng từ, văn bản, tài liệu liên quan.</w:t>
      </w:r>
    </w:p>
    <w:p w14:paraId="7E0CBCA1" w14:textId="47902F3B" w:rsidR="00C62578" w:rsidRPr="00AA1C51" w:rsidRDefault="00C62578" w:rsidP="00035B48">
      <w:pPr>
        <w:spacing w:before="120" w:line="360" w:lineRule="exact"/>
        <w:ind w:firstLine="720"/>
        <w:jc w:val="both"/>
        <w:rPr>
          <w:i/>
          <w:iCs/>
          <w:color w:val="000000" w:themeColor="text1"/>
          <w:sz w:val="28"/>
          <w:szCs w:val="28"/>
          <w:lang w:val="vi-VN"/>
        </w:rPr>
      </w:pPr>
      <w:r w:rsidRPr="00AA1C51">
        <w:rPr>
          <w:color w:val="000000" w:themeColor="text1"/>
          <w:sz w:val="28"/>
          <w:szCs w:val="28"/>
          <w:lang w:val="vi-VN"/>
        </w:rPr>
        <w:t>Khai thác không có giấy phép (chiếm 12%); khai thác vượt công suất cho phép (chiếm 37%); ký quỹ phục hồi môi trường không đầy đủ (chiếm 10%); thực hiện không đúng, không đầy đủ các nội dung b</w:t>
      </w:r>
      <w:r w:rsidR="00F124C3" w:rsidRPr="00F124C3">
        <w:rPr>
          <w:color w:val="000000" w:themeColor="text1"/>
          <w:sz w:val="28"/>
          <w:szCs w:val="28"/>
          <w:lang w:val="vi-VN"/>
        </w:rPr>
        <w:t>á</w:t>
      </w:r>
      <w:r w:rsidRPr="00AA1C51">
        <w:rPr>
          <w:color w:val="000000" w:themeColor="text1"/>
          <w:sz w:val="28"/>
          <w:szCs w:val="28"/>
          <w:lang w:val="vi-VN"/>
        </w:rPr>
        <w:t>o cáo ĐTM hoặc bản cam kết BVMT (chiếm 11%); khai thác không có thiết kế mỏ (chiếm 8%); không bổ nhiệm Giám đốc mỏ hoặc bổ nhiệm nhưng không đủ tiêu chuẩn (chiếm 7%); vi phạm về an toàn lao động (chiếm 6%); các hành vi khác (chiếm 9%). Căn cứ kết quả thanh tra, kiểm tra, các cơ quan có thẩm quyền đã xử phạt vi phạm hành chính 148 tổ chức, cá nhân với số tiền 22.268 triệu đồng.</w:t>
      </w:r>
    </w:p>
    <w:p w14:paraId="49AD5D08" w14:textId="0732CD2E" w:rsidR="00C62578" w:rsidRPr="00AA1C51" w:rsidRDefault="00035B48" w:rsidP="00035B48">
      <w:pPr>
        <w:pStyle w:val="ListParagraph"/>
        <w:tabs>
          <w:tab w:val="left" w:pos="993"/>
        </w:tabs>
        <w:snapToGrid w:val="0"/>
        <w:spacing w:before="120" w:line="360" w:lineRule="exact"/>
        <w:ind w:left="0" w:firstLine="720"/>
        <w:contextualSpacing w:val="0"/>
        <w:jc w:val="both"/>
        <w:rPr>
          <w:i/>
          <w:iCs/>
          <w:color w:val="000000" w:themeColor="text1"/>
          <w:sz w:val="28"/>
          <w:szCs w:val="28"/>
          <w:lang w:val="vi-VN"/>
        </w:rPr>
      </w:pPr>
      <w:r w:rsidRPr="00AA1C51">
        <w:rPr>
          <w:i/>
          <w:iCs/>
          <w:color w:val="000000" w:themeColor="text1"/>
          <w:sz w:val="28"/>
          <w:szCs w:val="28"/>
          <w:lang w:val="vi-VN"/>
        </w:rPr>
        <w:t xml:space="preserve">c) </w:t>
      </w:r>
      <w:r w:rsidR="00C62578" w:rsidRPr="00AA1C51">
        <w:rPr>
          <w:i/>
          <w:iCs/>
          <w:color w:val="000000" w:themeColor="text1"/>
          <w:sz w:val="28"/>
          <w:szCs w:val="28"/>
          <w:lang w:val="vi-VN"/>
        </w:rPr>
        <w:t xml:space="preserve">Một số kết quả đạt được </w:t>
      </w:r>
    </w:p>
    <w:p w14:paraId="1AD6CF27" w14:textId="77777777" w:rsidR="00C62578" w:rsidRPr="00AA1C51" w:rsidRDefault="00C62578" w:rsidP="00035B48">
      <w:pPr>
        <w:spacing w:before="120" w:line="360" w:lineRule="exact"/>
        <w:ind w:firstLine="720"/>
        <w:jc w:val="both"/>
        <w:rPr>
          <w:iCs/>
          <w:color w:val="000000" w:themeColor="text1"/>
          <w:sz w:val="28"/>
          <w:szCs w:val="28"/>
          <w:lang w:val="vi-VN"/>
        </w:rPr>
      </w:pPr>
      <w:r w:rsidRPr="00AA1C51">
        <w:rPr>
          <w:color w:val="000000" w:themeColor="text1"/>
          <w:sz w:val="28"/>
          <w:szCs w:val="28"/>
          <w:lang w:val="vi-VN"/>
        </w:rPr>
        <w:t xml:space="preserve">Theo đánh giá sơ bộ của Bộ Nông nghiệp và Môi trường, từ khi Nghị định số 36/2020/NĐ-CP có hiệu lực, công tác tranh tra, kiểm tra lĩnh vực tài nguyên nước và khoáng sản đã được được tăng cường ở cả Trung ương và địa phương. </w:t>
      </w:r>
      <w:r w:rsidRPr="00AA1C51">
        <w:rPr>
          <w:iCs/>
          <w:color w:val="000000" w:themeColor="text1"/>
          <w:sz w:val="28"/>
          <w:szCs w:val="28"/>
          <w:lang w:val="vi-VN"/>
        </w:rPr>
        <w:t>Kết quả thanh tra, kiểm tra hoạt động khoáng sản qua các năm cho thấy ý thức chấp hành pháp luật về khoáng sản của các tổ chức, cá nhân được thanh tra, kiểm tra ngày càng được nâng cao;</w:t>
      </w:r>
      <w:r w:rsidRPr="00AA1C51">
        <w:rPr>
          <w:color w:val="000000" w:themeColor="text1"/>
          <w:sz w:val="28"/>
          <w:szCs w:val="28"/>
          <w:lang w:val="vi-VN"/>
        </w:rPr>
        <w:t xml:space="preserve"> từng bước lập lại trật tự trong khai thác khoáng sản, giảm dần các vụ vi phạm pháp luật về khoáng sản và bảo vệ môi trường, tạo môi trường bình đẳng trong sản xuất, kinh doanh</w:t>
      </w:r>
      <w:r w:rsidRPr="00AA1C51">
        <w:rPr>
          <w:iCs/>
          <w:color w:val="000000" w:themeColor="text1"/>
          <w:sz w:val="28"/>
          <w:szCs w:val="28"/>
          <w:lang w:val="vi-VN"/>
        </w:rPr>
        <w:t>. Theo đó, nhiều hành vi vi phạm trong hoạt động khoáng sản đã giảm đáng kể như: không đăng ký ngày bắt đầu xây dựng cơ bản mỏ, ngày bắt đầu khai thác với cơ quan nhà nước có thẩm quyền cấp giấy phép; lập, phê duyệt thiết kế mỏ có nội dung không phù hợp với dự án đầu tư, thiết kế cơ sở đã phê duyệt và giấy phép khai thác khoáng sản; không nộp thiết kế mỏ đã phê duyệt cho cơ quan quản lý nhà nước có thẩm quyền về khoáng sản; không thông báo bằng văn bản về trình độ chuyên môn, năng lực của Giám đốc điều hành mỏ cho cơ quan quản lý nhà nước có thẩm quyền cấp phép khai thác khoáng sản,...</w:t>
      </w:r>
    </w:p>
    <w:p w14:paraId="5473954F"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Các hành vi vi phạm chủ yếu của tổ chức, cá nhân khai thác khoáng sản được phát hiện, xử lý như sau: có cắm mốc giới khai thác nhưng chưa đầy đủ; không thông báo, đăng ký ngày bắt đầu xây dựng cơ bản, khai thác mỏ; khai thác không đúng trình tự khai thác, không đúng một trong các thông số của hệ thống khai thác theo thiết kế mỏ đã phê duyệt; nội dung báo cáo định kỳ, báo cáo thống kê, kiểm kê hoạt động khai thác không đầy đủ thông tin theo mẫu quy định; khai thác vượt công suất cho phép; khai thác vượt ra ngoài ranh giới khu vực được phép khai thác (theo bề mặt); chưa được cơ quan có thẩm quyền cho phép theo quy định nhưng vẫn khai thác, sử dụng loại khoáng sản đi kèm, khoáng sản mới phát hiện trong quá trình khai thác; không nộp tiền cấp quyền khai thác khoáng sản; lập bản đồ hiện trạng mỏ, mặt cắt hiện trạng khu vực được phép khai thác không đầy đủ thông tin theo quy định; không thông báo bằng văn bản về trình độ </w:t>
      </w:r>
      <w:r w:rsidRPr="00AA1C51">
        <w:rPr>
          <w:color w:val="000000" w:themeColor="text1"/>
          <w:sz w:val="28"/>
          <w:szCs w:val="28"/>
          <w:lang w:val="vi-VN"/>
        </w:rPr>
        <w:lastRenderedPageBreak/>
        <w:t>chuyên môn, năng lực của giám đốc điều hành mỏ cho cơ quan quản lý nhà nước có thẩm quyền; không thực hiện việc lắp đặt trạm cân tại vị trí đưa khoáng sản nguyên khai ra khỏi nơi khai thác; thực hiện thống kê, kiểm kê trữ lượng khoáng sản còn lại nhưng không đầy đủ thông tin, số liệu theo quy định...</w:t>
      </w:r>
    </w:p>
    <w:p w14:paraId="7133D6A1"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Trong đó các hành vi vi phạm nêu trên, các hành vi gồm: khai thác không đúng hệ thống khai thác theo thiết kế mỏ; lập bản đồ hiện trạng mỏ, mặt cắt hiện trạng khu vực được phép khai thác không đầy đủ thông tin theo quy định và thực hiện thống kê, kiểm kê trữ lượng khoáng sản còn lại nhưng không đầy đủ thông tin, số liệu theo quy định là các hành vi phổ biến nhất. Qua đó, đã phát hiện những bất cập trong cơ chế quản lý, chính sách, pháp luật để từ đó kiến nghị cơ quan nhà nước có thẩm quyền xem xét, bổ sung hoàn thiện khung pháp lý; từng bước hoàn thiện cơ chế quản lý tài nguyên khoáng sản, góp phần phát triển bền vững ngành công nghiệp khai khoáng.</w:t>
      </w:r>
    </w:p>
    <w:p w14:paraId="3A0A9203" w14:textId="5A13E5EE" w:rsidR="004E5210" w:rsidRPr="00AA1C51" w:rsidRDefault="00035B48" w:rsidP="00035B48">
      <w:pPr>
        <w:tabs>
          <w:tab w:val="left" w:pos="993"/>
        </w:tabs>
        <w:spacing w:before="120" w:line="360" w:lineRule="exact"/>
        <w:ind w:firstLine="720"/>
        <w:jc w:val="both"/>
        <w:rPr>
          <w:i/>
          <w:iCs/>
          <w:color w:val="000000" w:themeColor="text1"/>
          <w:sz w:val="28"/>
          <w:szCs w:val="28"/>
          <w:lang w:val="vi-VN"/>
        </w:rPr>
      </w:pPr>
      <w:r w:rsidRPr="00AA1C51">
        <w:rPr>
          <w:i/>
          <w:iCs/>
          <w:color w:val="000000" w:themeColor="text1"/>
          <w:sz w:val="28"/>
          <w:szCs w:val="28"/>
          <w:lang w:val="vi-VN"/>
        </w:rPr>
        <w:t xml:space="preserve">d) </w:t>
      </w:r>
      <w:r w:rsidR="004E5210" w:rsidRPr="00AA1C51">
        <w:rPr>
          <w:i/>
          <w:iCs/>
          <w:color w:val="000000" w:themeColor="text1"/>
          <w:sz w:val="28"/>
          <w:szCs w:val="28"/>
          <w:lang w:val="vi-VN"/>
        </w:rPr>
        <w:t xml:space="preserve">Một số hạn chế, khó khăn, vướng mắc </w:t>
      </w:r>
    </w:p>
    <w:p w14:paraId="429059A0" w14:textId="624494AE" w:rsidR="004E5210" w:rsidRPr="00AA1C51" w:rsidRDefault="004E5210" w:rsidP="00035B48">
      <w:pPr>
        <w:pStyle w:val="Heading3"/>
        <w:spacing w:before="120" w:after="0" w:line="360" w:lineRule="exact"/>
        <w:rPr>
          <w:rFonts w:cs="Times New Roman"/>
          <w:b w:val="0"/>
          <w:bCs w:val="0"/>
          <w:i w:val="0"/>
          <w:iCs/>
          <w:color w:val="000000" w:themeColor="text1"/>
          <w:sz w:val="28"/>
          <w:szCs w:val="28"/>
          <w:lang w:val="pt-BR"/>
        </w:rPr>
      </w:pPr>
      <w:bookmarkStart w:id="15" w:name="_Toc201360962"/>
      <w:bookmarkStart w:id="16" w:name="_Toc208319570"/>
      <w:r w:rsidRPr="00AA1C51">
        <w:rPr>
          <w:rFonts w:cs="Times New Roman"/>
          <w:b w:val="0"/>
          <w:bCs w:val="0"/>
          <w:iCs/>
          <w:color w:val="000000" w:themeColor="text1"/>
          <w:sz w:val="28"/>
          <w:szCs w:val="28"/>
          <w:lang w:val="vi-VN"/>
        </w:rPr>
        <w:t xml:space="preserve">- </w:t>
      </w:r>
      <w:r w:rsidRPr="00AA1C51">
        <w:rPr>
          <w:rFonts w:cs="Times New Roman"/>
          <w:b w:val="0"/>
          <w:bCs w:val="0"/>
          <w:iCs/>
          <w:color w:val="000000" w:themeColor="text1"/>
          <w:sz w:val="28"/>
          <w:szCs w:val="28"/>
          <w:lang w:val="pt-BR"/>
        </w:rPr>
        <w:t>Sự thiếu đồng bộ, thống nhất quan điểm trong</w:t>
      </w:r>
      <w:r w:rsidRPr="00AA1C51">
        <w:rPr>
          <w:rFonts w:cs="Times New Roman"/>
          <w:b w:val="0"/>
          <w:bCs w:val="0"/>
          <w:iCs/>
          <w:color w:val="000000" w:themeColor="text1"/>
          <w:sz w:val="28"/>
          <w:szCs w:val="28"/>
          <w:lang w:val="vi-VN"/>
        </w:rPr>
        <w:t xml:space="preserve"> xử lý vi phạm</w:t>
      </w:r>
      <w:r w:rsidRPr="00AA1C51">
        <w:rPr>
          <w:rFonts w:cs="Times New Roman"/>
          <w:b w:val="0"/>
          <w:bCs w:val="0"/>
          <w:iCs/>
          <w:color w:val="000000" w:themeColor="text1"/>
          <w:sz w:val="28"/>
          <w:szCs w:val="28"/>
          <w:lang w:val="pt-BR"/>
        </w:rPr>
        <w:t xml:space="preserve"> </w:t>
      </w:r>
      <w:bookmarkEnd w:id="15"/>
      <w:bookmarkEnd w:id="16"/>
    </w:p>
    <w:p w14:paraId="36CB357A"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Theo quy định tại Điều 227 BLHS thì một trong những trường hợp xem xét truy cứu trách nhiệm hình sự về tội vi phạm quy định về nghiên cứu, thăm dò, khai thác tài nguyên, đó là hành vi “thu lợi bất chính” từ nghiên cứu, thăm dò, khai thác khoáng sản từ 100 triệu đồng trở lên. Tuy nhiên, Bộ luật Hình sự năm 2015 và các văn bản quy phạm pháp luật liên quan hiện chưa quy định rõ khái niệm “thu lợi bất chính”.</w:t>
      </w:r>
    </w:p>
    <w:p w14:paraId="2CCF67CE"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Nghị định số 36/2020/NĐ-CP quy định các hành vi: khai thác vượt công suất; vượt trữ lượng; vượt ngoài phạm vi, ranh giới quy định trong giấy phép sẽ bị áp dụng các hình thức: cảnh cáo, phạt tiền (cao nhất là 2 tỷ đồng) và tước quyền sử dụng Giấy phép thăm dò, khai thác khoáng sản từ 01 đến 24 tháng. Những quy định này đảm bảo sự phù hợp khi xử lý vi phạm trong lĩnh vực hoạt động khoáng sản là lĩnh vực có tính chuyên môn đặc thù cao (như đối với các vấn đề trình bày ở trên); đối tượng quản lý (là khoáng sản) không thể xác định được (trữ lượng) chính xác và biến động theo các yếu tố về kỹ thuật, công nghệ và xã hội. Mặt khác, Nghị định số 36/2020/NĐ-CP của Chính phủ không có quy định ranh giới về xử lý hành chính và xử lý hình sự và về hành vi vi phạm nào đã bị xử lý hành chính sẽ chuyển xử lý hình sự. Một số vấn đề bất cập, chồng chéo giữa quy định xử lý hành chính với xử lý hình sự trong lĩnh vực khoáng sản đã được các Bộ ngành, địa phương ghi nhận</w:t>
      </w:r>
      <w:r w:rsidRPr="00AA1C51">
        <w:rPr>
          <w:color w:val="000000" w:themeColor="text1"/>
          <w:sz w:val="28"/>
          <w:szCs w:val="28"/>
          <w:lang w:val="vi-VN"/>
        </w:rPr>
        <w:footnoteReference w:id="1"/>
      </w:r>
      <w:r w:rsidRPr="00AA1C51">
        <w:rPr>
          <w:color w:val="000000" w:themeColor="text1"/>
          <w:sz w:val="28"/>
          <w:szCs w:val="28"/>
          <w:lang w:val="vi-VN"/>
        </w:rPr>
        <w:t xml:space="preserve">. Sự thiếu quy định, đồng bộ trong các văn bản quy phạm pháp luật dẫn đến, một số trường hợp xử lý vi phạm hành chính theo quy </w:t>
      </w:r>
      <w:r w:rsidRPr="00AA1C51">
        <w:rPr>
          <w:color w:val="000000" w:themeColor="text1"/>
          <w:sz w:val="28"/>
          <w:szCs w:val="28"/>
          <w:lang w:val="vi-VN"/>
        </w:rPr>
        <w:lastRenderedPageBreak/>
        <w:t xml:space="preserve">định chuyên ngành bị đánh giá là lợi dụng quy định này để chỉ xử phạt vi phạm hành chính, bỏ lọt tội phạm, tạo áp lực lớn cho cán bộ, công chức khi thực hiện nhiệm vụ chuyên môn hiện nay. </w:t>
      </w:r>
    </w:p>
    <w:p w14:paraId="2BCE258D"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Mới đây, Bộ Công thương đã có Văn bản số 6084/BCT-DKT ngày 05 tháng 9 năm 2023 đề nghị Tòa án Nhân dân tối cao ban hành Nghị quyết của Hội đồng thẩm phán Tòa án nhân dân tối cao để hướng dẫn áp dụng thống nhất quy định tại Điều 227 nhằm tháo gỡ những vướng mắc nêu trên. Tuy nhiên đến nay, các vướng mắc này chưa được cơ quan có thẩm quyền ban hành văn bản để hướng dẫn thống nhất thực hiện.</w:t>
      </w:r>
    </w:p>
    <w:p w14:paraId="1E83524A"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Việc chưa có quy định cụ thể về cách thức, phương pháp xác định thiệt hại và văn bản quy phạm pháp luật hướng dẫn về trình tự, phương pháp tính toán để xác định số tiền “thu lợi bất chính” gây khó khăn khi thu hồi số lợi bất hợp pháp,  khắc phục hậu quả do các hành vi vi phạm trong khai thác khoáng sản gây ra,  mặc dù đây là quy định cần được thực hiện kịp thời. Ngoài các Quyết định xử phạt của Tổng cục Địa chất và Khoáng sản Việt Nam (trước đây) thì nhiều địa phương cũng đang vướng mắc quy định này nên chưa thể xử lý được. </w:t>
      </w:r>
    </w:p>
    <w:p w14:paraId="2EF89FF9" w14:textId="77777777" w:rsidR="004E5210" w:rsidRPr="00AA1C51" w:rsidRDefault="004E5210" w:rsidP="00035B48">
      <w:pPr>
        <w:pStyle w:val="Heading3"/>
        <w:spacing w:before="120" w:after="0" w:line="360" w:lineRule="exact"/>
        <w:rPr>
          <w:rFonts w:cs="Times New Roman"/>
          <w:b w:val="0"/>
          <w:bCs w:val="0"/>
          <w:i w:val="0"/>
          <w:iCs/>
          <w:color w:val="000000" w:themeColor="text1"/>
          <w:sz w:val="28"/>
          <w:szCs w:val="28"/>
          <w:lang w:val="vi-VN"/>
        </w:rPr>
      </w:pPr>
      <w:bookmarkStart w:id="17" w:name="_Toc201360963"/>
      <w:bookmarkStart w:id="18" w:name="_Toc208319571"/>
      <w:r w:rsidRPr="00AA1C51">
        <w:rPr>
          <w:rFonts w:cs="Times New Roman"/>
          <w:b w:val="0"/>
          <w:bCs w:val="0"/>
          <w:iCs/>
          <w:color w:val="000000" w:themeColor="text1"/>
          <w:sz w:val="28"/>
          <w:szCs w:val="28"/>
          <w:lang w:val="vi-VN"/>
        </w:rPr>
        <w:t>- Sự chưa phù hợp trong quy định xử lý vi phạm hành chính</w:t>
      </w:r>
      <w:bookmarkEnd w:id="17"/>
      <w:bookmarkEnd w:id="18"/>
      <w:r w:rsidRPr="00AA1C51">
        <w:rPr>
          <w:rFonts w:cs="Times New Roman"/>
          <w:b w:val="0"/>
          <w:bCs w:val="0"/>
          <w:iCs/>
          <w:color w:val="000000" w:themeColor="text1"/>
          <w:sz w:val="28"/>
          <w:szCs w:val="28"/>
          <w:lang w:val="vi-VN"/>
        </w:rPr>
        <w:t xml:space="preserve"> </w:t>
      </w:r>
    </w:p>
    <w:p w14:paraId="131DEB0D"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Qua tổng kết thực tiễn cho thấy, việc áp dụng thi hành hình thức đình chỉ hoặc tước giấy phép khai thác khoáng sản, tịch thu tang vật đối với một số hành vi trong Nghị định số 36/2020/NĐ-CP ngày 24/3/2020 của Chính phủ về xử lý vi phạm hành chính gặp một số khó khăn sau:</w:t>
      </w:r>
    </w:p>
    <w:p w14:paraId="7DCF1228"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Chưa có quy định về việc tổ chức giám sát và các biện pháp để đảm bảo việc doanh nghiệp vi phạm dừng hoạt động theo đúng thời gian được áp dụng trong Quyết định xử phạt vi phạm hành chính;</w:t>
      </w:r>
    </w:p>
    <w:p w14:paraId="0BF890D4" w14:textId="509F184F"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Việc áp dụng hình thức đình chỉ hoạt động khai thác gây ảnh hư</w:t>
      </w:r>
      <w:r w:rsidR="00F124C3" w:rsidRPr="00F124C3">
        <w:rPr>
          <w:color w:val="000000" w:themeColor="text1"/>
          <w:sz w:val="28"/>
          <w:szCs w:val="28"/>
          <w:lang w:val="vi-VN"/>
        </w:rPr>
        <w:t>ở</w:t>
      </w:r>
      <w:r w:rsidRPr="00AA1C51">
        <w:rPr>
          <w:color w:val="000000" w:themeColor="text1"/>
          <w:sz w:val="28"/>
          <w:szCs w:val="28"/>
          <w:lang w:val="vi-VN"/>
        </w:rPr>
        <w:t>ng rất lớn tới công ăn việc làm của người lao động tại doanh nghiệp, gây thiệt hại về kinh tế cho doanh nghiệp khi không có nguồn thu để trả lãi vay ngân hàng tiềm ẩn nguy cơ phá sản, nợ xấu cho nền kinh tế. Đây là nội dung cần hết sức cân nhắc trong thời gian tới;</w:t>
      </w:r>
    </w:p>
    <w:p w14:paraId="59D8D813"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Việc áp dụng hình thức tước giấy phép đối với doanh nghiệp đã thế chấp giấy phép sẽ gặp phải nhiều vướng mắc trong thực tiễn đồng thời việc tước giấy phép cũng đồng nghĩa với việc doanh nghiệp vi phạm không có cả quyền khai thác lẫn trách nhiệm bảo vệ khoáng sản chưa khai thác và các trách nhiệm khác trong nội dung Giấy phép. Đây là nội dung cần sớm xem xét sửa đổi, tháo gỡ;</w:t>
      </w:r>
    </w:p>
    <w:p w14:paraId="6EE6408B"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 Việc áp dụng hình thức tịch thu tang vật là khoáng sản có được do doanh nghiệp thực hiện hành vi vi phạm gặp nhiều vướng mắc trong thực tiễn khi khoáng </w:t>
      </w:r>
      <w:r w:rsidRPr="00AA1C51">
        <w:rPr>
          <w:color w:val="000000" w:themeColor="text1"/>
          <w:sz w:val="28"/>
          <w:szCs w:val="28"/>
          <w:lang w:val="vi-VN"/>
        </w:rPr>
        <w:lastRenderedPageBreak/>
        <w:t>sản vốn có khối lượng lớn đặt ra yêu cầu phải có quy định hướng dẫn về cách thức vận chuyển, tập kết, trông coi bảo quản, xử lý tang vật vi phạm;</w:t>
      </w:r>
    </w:p>
    <w:p w14:paraId="2C0BC1C9" w14:textId="77777777" w:rsidR="00035B48"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Chưa có quy định chi tiết về trình tự, cách thức thực hiện việc cưỡng chế thi hành quyết định xử phạt vi phạm hành chính trong lĩnh vực khoáng sản.</w:t>
      </w:r>
      <w:bookmarkStart w:id="19" w:name="_Toc208319574"/>
    </w:p>
    <w:p w14:paraId="7F39D396" w14:textId="3B442196" w:rsidR="00035B48" w:rsidRPr="00AA1C51" w:rsidRDefault="00001F24" w:rsidP="00035B48">
      <w:pPr>
        <w:spacing w:before="120" w:line="360" w:lineRule="exact"/>
        <w:ind w:firstLine="720"/>
        <w:jc w:val="both"/>
        <w:rPr>
          <w:b/>
          <w:i/>
          <w:iCs/>
          <w:color w:val="000000" w:themeColor="text1"/>
          <w:sz w:val="28"/>
          <w:szCs w:val="28"/>
          <w:lang w:val="vi-VN"/>
        </w:rPr>
      </w:pPr>
      <w:r w:rsidRPr="00AA1C51">
        <w:rPr>
          <w:b/>
          <w:i/>
          <w:iCs/>
          <w:color w:val="000000" w:themeColor="text1"/>
          <w:sz w:val="28"/>
          <w:szCs w:val="28"/>
          <w:lang w:val="vi-VN"/>
        </w:rPr>
        <w:t>3</w:t>
      </w:r>
      <w:r w:rsidR="006C7823" w:rsidRPr="00AA1C51">
        <w:rPr>
          <w:b/>
          <w:i/>
          <w:iCs/>
          <w:color w:val="000000" w:themeColor="text1"/>
          <w:sz w:val="28"/>
          <w:szCs w:val="28"/>
          <w:lang w:val="vi-VN"/>
        </w:rPr>
        <w:t xml:space="preserve">. </w:t>
      </w:r>
      <w:r w:rsidRPr="00AA1C51">
        <w:rPr>
          <w:b/>
          <w:i/>
          <w:iCs/>
          <w:color w:val="000000" w:themeColor="text1"/>
          <w:sz w:val="28"/>
          <w:szCs w:val="28"/>
          <w:lang w:val="vi-VN"/>
        </w:rPr>
        <w:t>Đánh giá tác động dự kiến liên quan đến các chế tài xử phạt vi phạm hành chính được đề xuất trong dự thảo</w:t>
      </w:r>
      <w:bookmarkEnd w:id="19"/>
      <w:r w:rsidRPr="00AA1C51">
        <w:rPr>
          <w:b/>
          <w:i/>
          <w:iCs/>
          <w:color w:val="000000" w:themeColor="text1"/>
          <w:sz w:val="28"/>
          <w:szCs w:val="28"/>
          <w:lang w:val="vi-VN"/>
        </w:rPr>
        <w:t xml:space="preserve"> </w:t>
      </w:r>
      <w:bookmarkStart w:id="20" w:name="_Toc208319575"/>
    </w:p>
    <w:p w14:paraId="75C56569" w14:textId="723F9A03" w:rsidR="006C7823" w:rsidRPr="00AA1C51" w:rsidRDefault="00001F24" w:rsidP="00035B48">
      <w:pPr>
        <w:spacing w:before="120" w:line="360" w:lineRule="exact"/>
        <w:ind w:firstLine="720"/>
        <w:jc w:val="both"/>
        <w:rPr>
          <w:i/>
          <w:iCs/>
          <w:color w:val="000000" w:themeColor="text1"/>
          <w:sz w:val="28"/>
          <w:szCs w:val="28"/>
          <w:lang w:val="vi-VN"/>
        </w:rPr>
      </w:pPr>
      <w:r w:rsidRPr="00AA1C51">
        <w:rPr>
          <w:i/>
          <w:iCs/>
          <w:color w:val="000000" w:themeColor="text1"/>
          <w:sz w:val="28"/>
          <w:szCs w:val="28"/>
          <w:lang w:val="vi-VN"/>
        </w:rPr>
        <w:t xml:space="preserve">a) </w:t>
      </w:r>
      <w:r w:rsidR="006C7823" w:rsidRPr="00AA1C51">
        <w:rPr>
          <w:i/>
          <w:iCs/>
          <w:color w:val="000000" w:themeColor="text1"/>
          <w:sz w:val="28"/>
          <w:szCs w:val="28"/>
          <w:lang w:val="vi-VN"/>
        </w:rPr>
        <w:t>Đối với các cá nhân, tổ chức tham gia hoạt động địa chất, khoáng sản:</w:t>
      </w:r>
      <w:bookmarkEnd w:id="20"/>
    </w:p>
    <w:p w14:paraId="30D06448" w14:textId="13C81399"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Về cơ bản các nhóm hành vi vi phạm trong </w:t>
      </w:r>
      <w:r w:rsidR="007A52C2">
        <w:rPr>
          <w:color w:val="000000" w:themeColor="text1"/>
          <w:sz w:val="28"/>
          <w:szCs w:val="28"/>
          <w:lang w:val="vi-VN"/>
        </w:rPr>
        <w:t>lĩnh vực địa chất và khoáng sản</w:t>
      </w:r>
      <w:r w:rsidRPr="00AA1C51">
        <w:rPr>
          <w:color w:val="000000" w:themeColor="text1"/>
          <w:sz w:val="28"/>
          <w:szCs w:val="28"/>
          <w:lang w:val="vi-VN"/>
        </w:rPr>
        <w:t xml:space="preserve"> sẽ không có nhiều thay đổi so với quy định hiện hành, tuy nhiên, các quy định về hành vi, mức tiền phạt sẽ được quy định cụ thể, rõ ràng và phù hợp hơn. Dự kiến tác động của dự thảo Nghị định đối với các cá nhân, tổ chức tham gia hoạt động địa chất, khoáng sản như sau:</w:t>
      </w:r>
    </w:p>
    <w:p w14:paraId="45A3F0CD" w14:textId="77777777"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Dự thảo Nghị định sẽ khắc phục được các vướng mắc, tồn tại, hạn chế hiện nay trong công tác thực thi pháp luật và xử lý vi phạm hành chính, ví dụ rà soát sửa đổi, bổ sung hoặc bãi bỏ quy định bắt buộc thăm dò, khai thác theo đúng 100% so với thiết kế mỏ; xem xét hạn chế việc tước giấy phép hoặc đình chỉ giấy phép (chỉ quy định đối với các trường hợp gây ra tác động tiêu cực nghiêm trọng)… Điều này tạo điều kiện thuận lợi rất lớn cho các tổ chức, cá nhân trong quá trình hoạt động địa chất, khoáng sản; tránh được những rủi ro, bất lợi chính đáng; ổn định sản xuất kinh doanh; không bị ảnh hưởng đến nguồn doanh thu cũng như hình ảnh, thương hiệu của tổ chức, cá nhân.</w:t>
      </w:r>
    </w:p>
    <w:p w14:paraId="3D59CFB9" w14:textId="2AF64548"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 Tuy nhiên, với tinh thần quản lý chặt chẽ tài nguyên, bảo đảm quyền lợi cũng như trách nhiệm thực thi các nghĩa vụ của các tổ chức, cá nhân trong Luật Địa chất và khoáng sản và Nghị định </w:t>
      </w:r>
      <w:r w:rsidR="00001F24" w:rsidRPr="00AA1C51">
        <w:rPr>
          <w:color w:val="000000" w:themeColor="text1"/>
          <w:sz w:val="28"/>
          <w:szCs w:val="28"/>
          <w:lang w:val="vi-VN"/>
        </w:rPr>
        <w:t>hướng dẫn thi hành</w:t>
      </w:r>
      <w:r w:rsidRPr="00AA1C51">
        <w:rPr>
          <w:color w:val="000000" w:themeColor="text1"/>
          <w:sz w:val="28"/>
          <w:szCs w:val="28"/>
          <w:lang w:val="vi-VN"/>
        </w:rPr>
        <w:t xml:space="preserve">, số lượng quy định về các hành vi vi phạm cụ thể trong dự thảo Nghị định quy định xử phạt vi phạm hành chính trong </w:t>
      </w:r>
      <w:r w:rsidR="007A52C2">
        <w:rPr>
          <w:color w:val="000000" w:themeColor="text1"/>
          <w:sz w:val="28"/>
          <w:szCs w:val="28"/>
          <w:lang w:val="vi-VN"/>
        </w:rPr>
        <w:t>lĩnh vực địa chất và khoáng sản</w:t>
      </w:r>
      <w:r w:rsidRPr="00AA1C51">
        <w:rPr>
          <w:color w:val="000000" w:themeColor="text1"/>
          <w:sz w:val="28"/>
          <w:szCs w:val="28"/>
          <w:lang w:val="vi-VN"/>
        </w:rPr>
        <w:t xml:space="preserve"> cũng sẽ gia tăng, được quy định rõ ràng, </w:t>
      </w:r>
      <w:r w:rsidR="00001F24" w:rsidRPr="00AA1C51">
        <w:rPr>
          <w:color w:val="000000" w:themeColor="text1"/>
          <w:sz w:val="28"/>
          <w:szCs w:val="28"/>
          <w:lang w:val="vi-VN"/>
        </w:rPr>
        <w:t xml:space="preserve">có tính </w:t>
      </w:r>
      <w:r w:rsidRPr="00AA1C51">
        <w:rPr>
          <w:color w:val="000000" w:themeColor="text1"/>
          <w:sz w:val="28"/>
          <w:szCs w:val="28"/>
          <w:lang w:val="vi-VN"/>
        </w:rPr>
        <w:t>định lượng hơn. Điều này, một mặt đòi hỏi các cá nhân, tổ chức tham gia hoạt động địa chất, khoáng sản sẽ phải đầu tư nguồn lực, nâng cao nhận thức và chủ động hơn trong việc tìm hiểu, nắm rõ quy định pháp luật để hạn chế các hành vi vi phạm có khả năng xảy ra. Đồng thời, khi các quy định về xử phạt hành chính được rõ ràng, định lượng hơn, các tổ chức, cá nhân cũng tránh được các rủi ro vi phạm hành chính trong quá trình hoạt động khai thác do quy định pháp luật chưa rõ ràng.</w:t>
      </w:r>
    </w:p>
    <w:p w14:paraId="3982D196" w14:textId="013D9205" w:rsidR="006C7823" w:rsidRPr="008F148D"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w:t>
      </w:r>
      <w:r w:rsidR="00001F24" w:rsidRPr="00AA1C51">
        <w:rPr>
          <w:color w:val="000000" w:themeColor="text1"/>
          <w:sz w:val="28"/>
          <w:szCs w:val="28"/>
          <w:lang w:val="vi-VN"/>
        </w:rPr>
        <w:t xml:space="preserve"> </w:t>
      </w:r>
      <w:r w:rsidRPr="00AA1C51">
        <w:rPr>
          <w:color w:val="000000" w:themeColor="text1"/>
          <w:sz w:val="28"/>
          <w:szCs w:val="28"/>
          <w:lang w:val="vi-VN"/>
        </w:rPr>
        <w:t xml:space="preserve">Luật sửa đổi, bổ sung Luật xử phạt vi phạm hành chính và Luật Thanh tra </w:t>
      </w:r>
      <w:r w:rsidR="00001F24" w:rsidRPr="00AA1C51">
        <w:rPr>
          <w:color w:val="000000" w:themeColor="text1"/>
          <w:sz w:val="28"/>
          <w:szCs w:val="28"/>
          <w:lang w:val="vi-VN"/>
        </w:rPr>
        <w:t>đã được ban hành mới đây</w:t>
      </w:r>
      <w:r w:rsidRPr="00AA1C51">
        <w:rPr>
          <w:color w:val="000000" w:themeColor="text1"/>
          <w:sz w:val="28"/>
          <w:szCs w:val="28"/>
          <w:lang w:val="vi-VN"/>
        </w:rPr>
        <w:t xml:space="preserve"> cũng sẽ dẫn đến những thay đổi, điều chỉnh trong các vấn đề về </w:t>
      </w:r>
      <w:r w:rsidR="00001F24" w:rsidRPr="00AA1C51">
        <w:rPr>
          <w:color w:val="000000" w:themeColor="text1"/>
          <w:sz w:val="28"/>
          <w:szCs w:val="28"/>
          <w:lang w:val="vi-VN"/>
        </w:rPr>
        <w:t xml:space="preserve">chức danh, </w:t>
      </w:r>
      <w:r w:rsidRPr="00AA1C51">
        <w:rPr>
          <w:color w:val="000000" w:themeColor="text1"/>
          <w:sz w:val="28"/>
          <w:szCs w:val="28"/>
          <w:lang w:val="vi-VN"/>
        </w:rPr>
        <w:t xml:space="preserve">thẩm quyền xử phạt, lập biên bản vi phạm hành chính… Khi này, các cá nhân, tổ chức tham gia hoạt động địa chất, khoáng sản cũng sẽ phải đầu tư nguồn lực (kinh phí, con người) để chủ động hơn trong việc tìm hiểu, nắm </w:t>
      </w:r>
      <w:r w:rsidRPr="00AA1C51">
        <w:rPr>
          <w:color w:val="000000" w:themeColor="text1"/>
          <w:sz w:val="28"/>
          <w:szCs w:val="28"/>
          <w:lang w:val="vi-VN"/>
        </w:rPr>
        <w:lastRenderedPageBreak/>
        <w:t>rõ quy định pháp luật để nắm bắt đầy đủ quyền, trách nhiệm, nghĩa vụ của mình và của các bên liên quan.</w:t>
      </w:r>
    </w:p>
    <w:p w14:paraId="6AAF381D" w14:textId="2C1CE560" w:rsidR="006C7823" w:rsidRPr="00AA1C51" w:rsidRDefault="00001F24" w:rsidP="00001F24">
      <w:pPr>
        <w:pStyle w:val="Heading1"/>
        <w:tabs>
          <w:tab w:val="left" w:pos="1134"/>
        </w:tabs>
        <w:spacing w:before="120" w:after="0" w:line="360" w:lineRule="exact"/>
        <w:ind w:firstLine="709"/>
        <w:rPr>
          <w:rFonts w:cs="Times New Roman"/>
          <w:b w:val="0"/>
          <w:bCs w:val="0"/>
          <w:i/>
          <w:iCs/>
          <w:color w:val="000000" w:themeColor="text1"/>
          <w:sz w:val="28"/>
          <w:lang w:val="vi-VN"/>
        </w:rPr>
      </w:pPr>
      <w:bookmarkStart w:id="21" w:name="_Toc208319576"/>
      <w:r w:rsidRPr="008F148D">
        <w:rPr>
          <w:rFonts w:cs="Times New Roman"/>
          <w:b w:val="0"/>
          <w:bCs w:val="0"/>
          <w:i/>
          <w:iCs/>
          <w:color w:val="000000" w:themeColor="text1"/>
          <w:sz w:val="28"/>
          <w:lang w:val="vi-VN"/>
        </w:rPr>
        <w:t>b) Đố</w:t>
      </w:r>
      <w:r w:rsidR="006C7823" w:rsidRPr="00AA1C51">
        <w:rPr>
          <w:rFonts w:cs="Times New Roman"/>
          <w:b w:val="0"/>
          <w:bCs w:val="0"/>
          <w:i/>
          <w:iCs/>
          <w:color w:val="000000" w:themeColor="text1"/>
          <w:sz w:val="28"/>
          <w:lang w:val="vi-VN"/>
        </w:rPr>
        <w:t>i với các cơ quan quản lý nhà nước; các cơ quan, cá nhân có thẩm quyền trong xử phạt vi phạm hành chính</w:t>
      </w:r>
      <w:bookmarkEnd w:id="21"/>
    </w:p>
    <w:p w14:paraId="5F089B75" w14:textId="770728D4"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Việc tinh gọn, tổ chức, sắp xếp lại các cơ quan quản lý nhà nước; các cấp chính quyền địa phương; đẩy mạnh phân cấp, phân quyền… có ảnh hưởng lớn đến nguồn lực quản lý, gồm các cơ quan quản lý nhà nước, các cơ quan, cá nhân có thẩm quyền trong lập biên bản, xử phạt vi phạm hành chính nói chung và trong </w:t>
      </w:r>
      <w:r w:rsidR="007A52C2">
        <w:rPr>
          <w:color w:val="000000" w:themeColor="text1"/>
          <w:sz w:val="28"/>
          <w:szCs w:val="28"/>
          <w:lang w:val="vi-VN"/>
        </w:rPr>
        <w:t>lĩnh vực địa chất và khoáng sản</w:t>
      </w:r>
      <w:r w:rsidRPr="00AA1C51">
        <w:rPr>
          <w:color w:val="000000" w:themeColor="text1"/>
          <w:sz w:val="28"/>
          <w:szCs w:val="28"/>
          <w:lang w:val="vi-VN"/>
        </w:rPr>
        <w:t xml:space="preserve"> nói riêng.</w:t>
      </w:r>
    </w:p>
    <w:p w14:paraId="6840B90F" w14:textId="0756806A"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Thực hiện Kết luận của Bộ Chính trị, Ban Bí thư về Đề án sắp xếp hệ thống cơ quan thanh tra tinh, gọn, mạnh, hiệu năng, hiệu lực, hiệu quả, Thanh tra Chính phủ đã phối hợp với 12 bộ, cơ quan, đơn vị liên quan thực hiện tiếp nhận, điều chuyển công chức làm công tác thanh tra của 12 Thanh tra Bộ phù hợp với yêu cầu nhiệm vụ về các vụ, cục, đơn vị của Thanh tra Chính phủ. Đồng thời bố trí, sắp xếp công chức các vụ, cục, đơn vị thuộc Thanh tra Chính phủ theo mô hình tổ chức mới. Ở địa phương</w:t>
      </w:r>
      <w:r w:rsidR="00C23E6D" w:rsidRPr="00AA1C51">
        <w:rPr>
          <w:color w:val="000000" w:themeColor="text1"/>
          <w:sz w:val="28"/>
          <w:szCs w:val="28"/>
          <w:lang w:val="vi-VN"/>
        </w:rPr>
        <w:t xml:space="preserve"> </w:t>
      </w:r>
      <w:r w:rsidRPr="00AA1C51">
        <w:rPr>
          <w:color w:val="000000" w:themeColor="text1"/>
          <w:sz w:val="28"/>
          <w:szCs w:val="28"/>
          <w:lang w:val="vi-VN"/>
        </w:rPr>
        <w:t>thực hiện sắp xếp tổ chức, bộ máy, nhân sự của Thanh tra tỉnh, TP trực thuộc Trung ương trên cơ sở kết thúc hoạt động Thanh tra cấp huyện, Thanh tra Sở và Thanh tra tỉnh hiện tại. Việc sắp xếp tổ chức, bộ máy, nhân sự của Thanh tra cấp tỉnh hoàn thành đồng bộ với việc thực hiện chủ trương sắp xếp đơn vị hành chính cấp tỉnh.</w:t>
      </w:r>
    </w:p>
    <w:p w14:paraId="6671AED6" w14:textId="77777777"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Như vậy, có thể thấy hệ thống các cơ quan, cá nhân có thẩm quyền trong lập biên bản vi phạm, xử phạt vi phạm hành chính sẽ có những thay đổi đáng kể trong thời gian tới. Điều này, dẫn đến những tác động sau:</w:t>
      </w:r>
    </w:p>
    <w:p w14:paraId="324D29C0" w14:textId="363E5DC3"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Bên cạnh việc phải đầu tư nguồn lực để rà soát, hoàn thiện dự thảo Nghị định để tương thích với các quy định của Luật Địa chất và Khoáng sản</w:t>
      </w:r>
      <w:r w:rsidR="00C23E6D" w:rsidRPr="00AA1C51">
        <w:rPr>
          <w:color w:val="000000" w:themeColor="text1"/>
          <w:sz w:val="28"/>
          <w:szCs w:val="28"/>
          <w:lang w:val="vi-VN"/>
        </w:rPr>
        <w:t xml:space="preserve"> 2024</w:t>
      </w:r>
      <w:r w:rsidRPr="00AA1C51">
        <w:rPr>
          <w:color w:val="000000" w:themeColor="text1"/>
          <w:sz w:val="28"/>
          <w:szCs w:val="28"/>
          <w:lang w:val="vi-VN"/>
        </w:rPr>
        <w:t xml:space="preserve">, Nghị định </w:t>
      </w:r>
      <w:r w:rsidR="00C23E6D" w:rsidRPr="00AA1C51">
        <w:rPr>
          <w:color w:val="000000" w:themeColor="text1"/>
          <w:sz w:val="28"/>
          <w:szCs w:val="28"/>
          <w:lang w:val="vi-VN"/>
        </w:rPr>
        <w:t>193/2025/NĐ-CP hướng dẫn thi hành Luật và</w:t>
      </w:r>
      <w:r w:rsidRPr="00AA1C51">
        <w:rPr>
          <w:color w:val="000000" w:themeColor="text1"/>
          <w:sz w:val="28"/>
          <w:szCs w:val="28"/>
          <w:lang w:val="vi-VN"/>
        </w:rPr>
        <w:t xml:space="preserve"> Nghị định số 136/2025/NĐ-CP quy định phân quyền, phân cấp trong lĩnh vực nông nghiệp và môi trường trong đó có lĩnh vực địa chất và khoáng sản, Cơ quan soạn thảo Nghị định quy định xử phạt vi phạm hành chính trong </w:t>
      </w:r>
      <w:r w:rsidR="007A52C2">
        <w:rPr>
          <w:color w:val="000000" w:themeColor="text1"/>
          <w:sz w:val="28"/>
          <w:szCs w:val="28"/>
          <w:lang w:val="vi-VN"/>
        </w:rPr>
        <w:t>lĩnh vực địa chất và khoáng sản</w:t>
      </w:r>
      <w:r w:rsidRPr="00AA1C51">
        <w:rPr>
          <w:color w:val="000000" w:themeColor="text1"/>
          <w:sz w:val="28"/>
          <w:szCs w:val="28"/>
          <w:lang w:val="vi-VN"/>
        </w:rPr>
        <w:t xml:space="preserve"> sẽ phải cập nhật các thay đổi trong các văn bản quy phạm pháp luật liên quan đến xử lý vi phạm hành chính, thanh tra để bảo đảm tính thống nhất, đồng bộ pháp luật của dự thảo Nghị định với các văn bản quy phạm pháp luật mới.</w:t>
      </w:r>
    </w:p>
    <w:p w14:paraId="554774B4" w14:textId="3B70E2C1"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 Các bộ ngành, cơ quan có thẩm quyền cũng phải đầu tư nguồn lực, thời gian, công sức chủ động, tích cực phối hợp với Bộ Nông nghiệp và Môi trường trong quá trình xây dựng, hoàn thiện dự thảo Nghị định quy định xử phạt vi phạm hành chính trong </w:t>
      </w:r>
      <w:r w:rsidR="007A52C2">
        <w:rPr>
          <w:color w:val="000000" w:themeColor="text1"/>
          <w:sz w:val="28"/>
          <w:szCs w:val="28"/>
          <w:lang w:val="vi-VN"/>
        </w:rPr>
        <w:t>lĩnh vực địa chất và khoáng sản</w:t>
      </w:r>
      <w:r w:rsidRPr="00AA1C51">
        <w:rPr>
          <w:color w:val="000000" w:themeColor="text1"/>
          <w:sz w:val="28"/>
          <w:szCs w:val="28"/>
          <w:lang w:val="vi-VN"/>
        </w:rPr>
        <w:t xml:space="preserve"> trình Chính phủ xem xét, ban hành vì liên quan chặt chẽ đến thẩm quyền của cơ quan, cá nhân liên quan trong việc lập biên bản vi phạm, xử phạt vi phạm hành chính…</w:t>
      </w:r>
    </w:p>
    <w:p w14:paraId="315501F2" w14:textId="4F0E6EAE"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lastRenderedPageBreak/>
        <w:t xml:space="preserve">- Bộ Nông nghiệp và Môi trường (cụ thể là Cục Địa chất và Khoáng sản Việt Nam) cũng như các Bộ, ngành và UBND cấp tỉnh cũng cần đầu tư nguồn lực để triển khai các hoạt động tập huấn, truyền thông cập nhật quy định pháp luật mới về xử phạt vi phạm hành chính, thanh tra… trong </w:t>
      </w:r>
      <w:r w:rsidR="007A52C2">
        <w:rPr>
          <w:color w:val="000000" w:themeColor="text1"/>
          <w:sz w:val="28"/>
          <w:szCs w:val="28"/>
          <w:lang w:val="vi-VN"/>
        </w:rPr>
        <w:t>lĩnh vực địa chất và khoáng sản</w:t>
      </w:r>
      <w:r w:rsidRPr="00AA1C51">
        <w:rPr>
          <w:color w:val="000000" w:themeColor="text1"/>
          <w:sz w:val="28"/>
          <w:szCs w:val="28"/>
          <w:lang w:val="vi-VN"/>
        </w:rPr>
        <w:t xml:space="preserve"> cho các cơ quan quản lý nhà nước ở địa phương, các tổ chức, cá nhân tham gia hoạt động địa chất, khoáng sản và các tổ chức, cá nhân có liên quan để bảo đảm tính đồng bộ, hiệu quả trong quá trình triển khai thực thi pháp luật.</w:t>
      </w:r>
    </w:p>
    <w:p w14:paraId="2538719D" w14:textId="513F50DF"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 Để bảo đảm hiệu quả trong công tác xử phạt vi phạm hành chính trong </w:t>
      </w:r>
      <w:r w:rsidR="007A52C2">
        <w:rPr>
          <w:color w:val="000000" w:themeColor="text1"/>
          <w:sz w:val="28"/>
          <w:szCs w:val="28"/>
          <w:lang w:val="vi-VN"/>
        </w:rPr>
        <w:t>lĩnh vực địa chất và khoáng sản</w:t>
      </w:r>
      <w:r w:rsidRPr="00AA1C51">
        <w:rPr>
          <w:color w:val="000000" w:themeColor="text1"/>
          <w:sz w:val="28"/>
          <w:szCs w:val="28"/>
          <w:lang w:val="vi-VN"/>
        </w:rPr>
        <w:t xml:space="preserve">; đáp ứng các yêu cầu trong thời kỳ mới, chuyển đổi số, công nghệ hiện đại, các cơ quan có thẩm quyền liên quan đến xử phạt vi phạm hành chính </w:t>
      </w:r>
      <w:r w:rsidR="007A52C2">
        <w:rPr>
          <w:color w:val="000000" w:themeColor="text1"/>
          <w:sz w:val="28"/>
          <w:szCs w:val="28"/>
          <w:lang w:val="vi-VN"/>
        </w:rPr>
        <w:t>lĩnh vực địa chất và khoáng sản</w:t>
      </w:r>
      <w:r w:rsidRPr="00AA1C51">
        <w:rPr>
          <w:color w:val="000000" w:themeColor="text1"/>
          <w:sz w:val="28"/>
          <w:szCs w:val="28"/>
          <w:lang w:val="vi-VN"/>
        </w:rPr>
        <w:t xml:space="preserve"> (Thanh tra chính phủ, thanh tra tỉnh; Cục Địa chất và Khoáng sản Việt Nam, Sở Nông nghiệp và Môi trường; cơ quan chức n</w:t>
      </w:r>
      <w:r w:rsidR="00F124C3" w:rsidRPr="00F124C3">
        <w:rPr>
          <w:color w:val="000000" w:themeColor="text1"/>
          <w:sz w:val="28"/>
          <w:szCs w:val="28"/>
          <w:lang w:val="vi-VN"/>
        </w:rPr>
        <w:t>ă</w:t>
      </w:r>
      <w:r w:rsidRPr="00AA1C51">
        <w:rPr>
          <w:color w:val="000000" w:themeColor="text1"/>
          <w:sz w:val="28"/>
          <w:szCs w:val="28"/>
          <w:lang w:val="vi-VN"/>
        </w:rPr>
        <w:t xml:space="preserve">ng của các Bộ, ngành…) cũng cần phải được tăng cường các trang thiết bị hiện đại, cần thiết phục vụ cho quá trình phát hiện, điều tra các hành vi vi phạm và giám sát việc thực hiện, khắc phục hậu quả vi phạm hành chính trong </w:t>
      </w:r>
      <w:r w:rsidR="007A52C2">
        <w:rPr>
          <w:color w:val="000000" w:themeColor="text1"/>
          <w:sz w:val="28"/>
          <w:szCs w:val="28"/>
          <w:lang w:val="vi-VN"/>
        </w:rPr>
        <w:t>lĩnh vực địa chất và khoáng sản</w:t>
      </w:r>
      <w:r w:rsidRPr="00AA1C51">
        <w:rPr>
          <w:color w:val="000000" w:themeColor="text1"/>
          <w:sz w:val="28"/>
          <w:szCs w:val="28"/>
          <w:lang w:val="vi-VN"/>
        </w:rPr>
        <w:t>.</w:t>
      </w:r>
    </w:p>
    <w:p w14:paraId="385F6AB9" w14:textId="1F09935E" w:rsidR="00C62578" w:rsidRPr="008F148D" w:rsidRDefault="00C23E6D" w:rsidP="00AA1C51">
      <w:pPr>
        <w:spacing w:before="120"/>
        <w:ind w:firstLine="709"/>
        <w:rPr>
          <w:i/>
          <w:iCs/>
          <w:color w:val="000000" w:themeColor="text1"/>
          <w:sz w:val="28"/>
          <w:szCs w:val="28"/>
          <w:lang w:val="vi-VN"/>
        </w:rPr>
      </w:pPr>
      <w:r w:rsidRPr="00AA1C51">
        <w:rPr>
          <w:i/>
          <w:iCs/>
          <w:color w:val="000000" w:themeColor="text1"/>
          <w:sz w:val="28"/>
          <w:szCs w:val="28"/>
          <w:lang w:val="vi-VN"/>
        </w:rPr>
        <w:t>c) Về quy định xác định số lợi bất hợp pháp và phân định ranh giới xử lý hình sự</w:t>
      </w:r>
    </w:p>
    <w:p w14:paraId="2BDAD526" w14:textId="68C6C514" w:rsidR="00896F14" w:rsidRPr="008F148D" w:rsidRDefault="00896F14" w:rsidP="00896F14">
      <w:pPr>
        <w:ind w:firstLine="709"/>
        <w:jc w:val="both"/>
        <w:rPr>
          <w:color w:val="000000" w:themeColor="text1"/>
          <w:sz w:val="28"/>
          <w:szCs w:val="28"/>
          <w:lang w:val="vi-VN"/>
        </w:rPr>
      </w:pPr>
      <w:r w:rsidRPr="008F148D">
        <w:rPr>
          <w:color w:val="000000" w:themeColor="text1"/>
          <w:sz w:val="28"/>
          <w:szCs w:val="28"/>
          <w:lang w:val="vi-VN"/>
        </w:rPr>
        <w:t>Việc xác định chính xác, hợp lý và khả thi số lợi bất hợp pháp có được từ hành vi vi phạm (đặc biệt trong lĩnh vực khai thác tài nguyên, khoáng sản) là một vấn đề cốt lõi, ảnh hưởng trực tiếp đến hiệu quả thực thi pháp luật, tính răn đe của chế tài và sự công bằng trong môi trường kinh doanh.</w:t>
      </w:r>
    </w:p>
    <w:p w14:paraId="62300FB4" w14:textId="4EEBCDEE" w:rsidR="00513B3D" w:rsidRPr="00AA1C51" w:rsidRDefault="00513B3D" w:rsidP="00513B3D">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line="350" w:lineRule="exact"/>
        <w:ind w:firstLine="567"/>
        <w:jc w:val="both"/>
        <w:rPr>
          <w:color w:val="000000" w:themeColor="text1"/>
          <w:sz w:val="28"/>
          <w:szCs w:val="28"/>
          <w:lang w:val="pt-BR"/>
        </w:rPr>
      </w:pPr>
      <w:r w:rsidRPr="00AA1C51">
        <w:rPr>
          <w:bCs/>
          <w:color w:val="000000" w:themeColor="text1"/>
          <w:sz w:val="28"/>
          <w:szCs w:val="28"/>
          <w:lang w:val="nl-NL"/>
        </w:rPr>
        <w:t>Như nội dung Dự thảo và Tờ trình hiện nay thì quy định xác định số lợi bất hợp pháp đã có sự thay đổi so với Nghị định 36 theo đó</w:t>
      </w:r>
      <w:r w:rsidRPr="00AA1C51">
        <w:rPr>
          <w:i/>
          <w:iCs/>
          <w:color w:val="000000" w:themeColor="text1"/>
          <w:sz w:val="28"/>
          <w:szCs w:val="28"/>
          <w:lang w:val="pt-BR"/>
        </w:rPr>
        <w:t xml:space="preserve"> </w:t>
      </w:r>
      <w:r w:rsidRPr="00AA1C51">
        <w:rPr>
          <w:color w:val="000000" w:themeColor="text1"/>
          <w:sz w:val="28"/>
          <w:szCs w:val="28"/>
          <w:lang w:val="pt-BR"/>
        </w:rPr>
        <w:t>không trừ chi phí vật tư trực tiếp, chi phí nhân công trực tiếp, chi phí khấu hao tài sản cố định trực tiếp, chi phí sản xuất chung, chi phí bán hàng, chi phí quản lý, chi phí tài chính; mà chỉ trừ chi phí đã nộp vào ngân sách nhà nước khi xác định số lợi bất hợp pháp có được do thực hiện hành vi vi phạm.</w:t>
      </w:r>
    </w:p>
    <w:p w14:paraId="16E0B3EC" w14:textId="5C37B726" w:rsidR="00513B3D" w:rsidRPr="00AA1C51" w:rsidRDefault="00513B3D" w:rsidP="00D01E09">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line="350" w:lineRule="exact"/>
        <w:ind w:firstLine="567"/>
        <w:jc w:val="both"/>
        <w:rPr>
          <w:color w:val="000000" w:themeColor="text1"/>
          <w:sz w:val="28"/>
          <w:szCs w:val="28"/>
          <w:lang w:val="pt-BR"/>
        </w:rPr>
      </w:pPr>
      <w:r w:rsidRPr="00AA1C51">
        <w:rPr>
          <w:bCs/>
          <w:color w:val="000000" w:themeColor="text1"/>
          <w:sz w:val="28"/>
          <w:szCs w:val="28"/>
          <w:lang w:val="nl-NL"/>
        </w:rPr>
        <w:t>Bộ Nông nghiệp và Môi trường đề nghị lựa chọn Phương án này vì 03 lý do như sau: (1) Đảm bảo tính răn đe của pháp luật khi xâm phạm tài sản công; (2) Việc áp dụng phương án này được hiểu rằng pháp luật không công nhận các chi phí trực tiếp khi tổ chức, cá nhân thực hiện hành vi sai trái; (3) Khắc phục</w:t>
      </w:r>
      <w:r w:rsidR="00896F14" w:rsidRPr="00AA1C51">
        <w:rPr>
          <w:color w:val="000000" w:themeColor="text1"/>
          <w:sz w:val="28"/>
          <w:szCs w:val="28"/>
          <w:lang w:val="pt-BR"/>
        </w:rPr>
        <w:t xml:space="preserve"> nguy cơ tổ chức, cá nhân vi phạm lợi dụng quy định để kê khai chi phí trực tiếp lớn trong đó có những chi phí chung phục vụ cho nhiều mục đích khác nhau, khó phân định dẫn tới số tiền thu lợi rất nhỏ, thậm chí bị âm (nhỏ hơn) so với giá trị khoáng sản đã tiêu thụ qua đó không đảm bảo tính răn đe và gây ra tình trạng bất công cho các tổ chức, cá nhân được cấp giấy phép theo quy định khi phải bỏ ra nhiều chi phí để khai thác khoáng sản hợp pháp.</w:t>
      </w:r>
      <w:r w:rsidR="00D01E09" w:rsidRPr="00AA1C51">
        <w:rPr>
          <w:color w:val="000000" w:themeColor="text1"/>
          <w:sz w:val="28"/>
          <w:szCs w:val="28"/>
          <w:lang w:val="pt-BR"/>
        </w:rPr>
        <w:t xml:space="preserve"> Đồng thời,</w:t>
      </w:r>
      <w:r w:rsidRPr="00AA1C51">
        <w:rPr>
          <w:bCs/>
          <w:color w:val="000000" w:themeColor="text1"/>
          <w:sz w:val="28"/>
          <w:szCs w:val="28"/>
          <w:lang w:val="nl-NL"/>
        </w:rPr>
        <w:t xml:space="preserve"> giảm thiểu sự phức tạp, rủi ro cho cơ quan nhà nước khi xác định các chi phí trực tiếp.</w:t>
      </w:r>
    </w:p>
    <w:p w14:paraId="66A11E66" w14:textId="77777777" w:rsidR="00B95ECA" w:rsidRPr="00620D3F" w:rsidRDefault="00B95ECA" w:rsidP="00A07022">
      <w:pPr>
        <w:spacing w:after="160" w:line="259" w:lineRule="auto"/>
        <w:ind w:firstLine="567"/>
        <w:jc w:val="both"/>
        <w:rPr>
          <w:i/>
          <w:iCs/>
          <w:sz w:val="28"/>
          <w:szCs w:val="28"/>
          <w:lang w:val="nl-NL"/>
        </w:rPr>
      </w:pPr>
      <w:r w:rsidRPr="001973EA">
        <w:rPr>
          <w:i/>
          <w:iCs/>
          <w:sz w:val="28"/>
          <w:szCs w:val="28"/>
          <w:lang w:val="nl-NL"/>
        </w:rPr>
        <w:lastRenderedPageBreak/>
        <w:t>d)</w:t>
      </w:r>
      <w:r w:rsidRPr="00620D3F">
        <w:rPr>
          <w:i/>
          <w:iCs/>
          <w:sz w:val="28"/>
          <w:szCs w:val="28"/>
          <w:lang w:val="nl-NL"/>
        </w:rPr>
        <w:t xml:space="preserve"> So sánh các thay đổi chính giữa Dự thảo Nghị định và Nghị định </w:t>
      </w:r>
      <w:r>
        <w:rPr>
          <w:i/>
          <w:iCs/>
          <w:sz w:val="28"/>
          <w:szCs w:val="28"/>
          <w:lang w:val="nl-NL"/>
        </w:rPr>
        <w:t xml:space="preserve">xử phạt </w:t>
      </w:r>
      <w:r w:rsidRPr="00620D3F">
        <w:rPr>
          <w:i/>
          <w:iCs/>
          <w:sz w:val="28"/>
          <w:szCs w:val="28"/>
          <w:lang w:val="nl-NL"/>
        </w:rPr>
        <w:t>hiện hành</w:t>
      </w:r>
    </w:p>
    <w:p w14:paraId="4E180A18" w14:textId="77777777" w:rsidR="00B95ECA" w:rsidRPr="00620D3F" w:rsidRDefault="00B95ECA" w:rsidP="00A07022">
      <w:pPr>
        <w:spacing w:after="160" w:line="259" w:lineRule="auto"/>
        <w:ind w:firstLine="567"/>
        <w:jc w:val="both"/>
        <w:rPr>
          <w:i/>
          <w:iCs/>
          <w:sz w:val="28"/>
          <w:szCs w:val="28"/>
          <w:lang w:val="nl-NL"/>
        </w:rPr>
      </w:pPr>
      <w:r w:rsidRPr="002242BD">
        <w:rPr>
          <w:i/>
          <w:iCs/>
          <w:sz w:val="28"/>
          <w:szCs w:val="28"/>
          <w:lang w:val="nl-NL"/>
        </w:rPr>
        <w:t xml:space="preserve">- </w:t>
      </w:r>
      <w:r w:rsidRPr="00620D3F">
        <w:rPr>
          <w:i/>
          <w:iCs/>
          <w:sz w:val="28"/>
          <w:szCs w:val="28"/>
          <w:lang w:val="nl-NL"/>
        </w:rPr>
        <w:t>So sánh về phạm vi điều chỉnh và đối tượng áp dụng</w:t>
      </w:r>
    </w:p>
    <w:p w14:paraId="0B4808CC" w14:textId="77777777" w:rsidR="00B95ECA" w:rsidRPr="00620D3F" w:rsidRDefault="00B95ECA" w:rsidP="00A07022">
      <w:pPr>
        <w:spacing w:after="160" w:line="259" w:lineRule="auto"/>
        <w:ind w:firstLine="567"/>
        <w:jc w:val="both"/>
        <w:rPr>
          <w:sz w:val="28"/>
          <w:szCs w:val="28"/>
          <w:lang w:val="nl-NL"/>
        </w:rPr>
      </w:pPr>
      <w:r w:rsidRPr="002242BD">
        <w:rPr>
          <w:sz w:val="28"/>
          <w:szCs w:val="28"/>
          <w:lang w:val="nl-NL"/>
        </w:rPr>
        <w:t xml:space="preserve">+ </w:t>
      </w:r>
      <w:r w:rsidRPr="00620D3F">
        <w:rPr>
          <w:sz w:val="28"/>
          <w:szCs w:val="28"/>
          <w:lang w:val="nl-NL"/>
        </w:rPr>
        <w:t>Hiện hành: Bao gồm</w:t>
      </w:r>
      <w:r>
        <w:rPr>
          <w:sz w:val="28"/>
          <w:szCs w:val="28"/>
          <w:lang w:val="nl-NL"/>
        </w:rPr>
        <w:t xml:space="preserve"> quy định chế tài xử phạt trong lĩnh vực</w:t>
      </w:r>
      <w:r w:rsidRPr="00620D3F">
        <w:rPr>
          <w:sz w:val="28"/>
          <w:szCs w:val="28"/>
          <w:lang w:val="nl-NL"/>
        </w:rPr>
        <w:t xml:space="preserve"> tài nguyên nước và khoáng sản</w:t>
      </w:r>
      <w:r>
        <w:rPr>
          <w:sz w:val="28"/>
          <w:szCs w:val="28"/>
          <w:lang w:val="nl-NL"/>
        </w:rPr>
        <w:t xml:space="preserve"> trong đó</w:t>
      </w:r>
      <w:r w:rsidRPr="00620D3F">
        <w:rPr>
          <w:sz w:val="28"/>
          <w:szCs w:val="28"/>
          <w:lang w:val="nl-NL"/>
        </w:rPr>
        <w:t xml:space="preserve"> phần khoáng sản ở Chương III (Điều 30-57).</w:t>
      </w:r>
    </w:p>
    <w:p w14:paraId="658637EC" w14:textId="77777777" w:rsidR="00B95ECA" w:rsidRPr="00620D3F" w:rsidRDefault="00B95ECA" w:rsidP="00A07022">
      <w:pPr>
        <w:spacing w:after="160" w:line="259" w:lineRule="auto"/>
        <w:ind w:firstLine="567"/>
        <w:jc w:val="both"/>
        <w:rPr>
          <w:sz w:val="28"/>
          <w:szCs w:val="28"/>
          <w:lang w:val="nl-NL"/>
        </w:rPr>
      </w:pPr>
      <w:r w:rsidRPr="002242BD">
        <w:rPr>
          <w:sz w:val="28"/>
          <w:szCs w:val="28"/>
          <w:lang w:val="nl-NL"/>
        </w:rPr>
        <w:t xml:space="preserve">+ </w:t>
      </w:r>
      <w:r w:rsidRPr="00620D3F">
        <w:rPr>
          <w:sz w:val="28"/>
          <w:szCs w:val="28"/>
          <w:lang w:val="nl-NL"/>
        </w:rPr>
        <w:t>Dự thảo: Tách riêng</w:t>
      </w:r>
      <w:r>
        <w:rPr>
          <w:sz w:val="28"/>
          <w:szCs w:val="28"/>
          <w:lang w:val="nl-NL"/>
        </w:rPr>
        <w:t xml:space="preserve"> lĩnh vực</w:t>
      </w:r>
      <w:r w:rsidRPr="00620D3F">
        <w:rPr>
          <w:sz w:val="28"/>
          <w:szCs w:val="28"/>
          <w:lang w:val="nl-NL"/>
        </w:rPr>
        <w:t xml:space="preserve"> địa chất và khoáng sản, bổ sung địa chất cơ bản, bảo vệ dự trữ quốc gia, quyền cộng đồng</w:t>
      </w:r>
      <w:r>
        <w:rPr>
          <w:sz w:val="28"/>
          <w:szCs w:val="28"/>
          <w:lang w:val="nl-NL"/>
        </w:rPr>
        <w:t>.</w:t>
      </w:r>
    </w:p>
    <w:p w14:paraId="691C5351" w14:textId="77777777" w:rsidR="00B95ECA" w:rsidRPr="00620D3F" w:rsidRDefault="00B95ECA" w:rsidP="00A07022">
      <w:pPr>
        <w:spacing w:after="160" w:line="259" w:lineRule="auto"/>
        <w:ind w:firstLine="567"/>
        <w:jc w:val="both"/>
        <w:rPr>
          <w:sz w:val="28"/>
          <w:szCs w:val="28"/>
          <w:lang w:val="nl-NL"/>
        </w:rPr>
      </w:pPr>
      <w:r w:rsidRPr="002242BD">
        <w:rPr>
          <w:sz w:val="28"/>
          <w:szCs w:val="28"/>
          <w:lang w:val="nl-NL"/>
        </w:rPr>
        <w:t xml:space="preserve">+ </w:t>
      </w:r>
      <w:r w:rsidRPr="00620D3F">
        <w:rPr>
          <w:sz w:val="28"/>
          <w:szCs w:val="28"/>
          <w:lang w:val="nl-NL"/>
        </w:rPr>
        <w:t xml:space="preserve">Thay đổi: Tăng </w:t>
      </w:r>
      <w:r>
        <w:rPr>
          <w:sz w:val="28"/>
          <w:szCs w:val="28"/>
          <w:lang w:val="nl-NL"/>
        </w:rPr>
        <w:t xml:space="preserve">tính </w:t>
      </w:r>
      <w:r w:rsidRPr="00620D3F">
        <w:rPr>
          <w:sz w:val="28"/>
          <w:szCs w:val="28"/>
          <w:lang w:val="nl-NL"/>
        </w:rPr>
        <w:t xml:space="preserve">chuyên sâu, đồng bộ </w:t>
      </w:r>
      <w:r>
        <w:rPr>
          <w:sz w:val="28"/>
          <w:szCs w:val="28"/>
          <w:lang w:val="nl-NL"/>
        </w:rPr>
        <w:t xml:space="preserve">với </w:t>
      </w:r>
      <w:r w:rsidRPr="00620D3F">
        <w:rPr>
          <w:sz w:val="28"/>
          <w:szCs w:val="28"/>
          <w:lang w:val="nl-NL"/>
        </w:rPr>
        <w:t xml:space="preserve">Luật </w:t>
      </w:r>
      <w:r>
        <w:rPr>
          <w:sz w:val="28"/>
          <w:szCs w:val="28"/>
          <w:lang w:val="nl-NL"/>
        </w:rPr>
        <w:t xml:space="preserve">Địa chất và khoáng sản </w:t>
      </w:r>
      <w:r w:rsidRPr="00620D3F">
        <w:rPr>
          <w:sz w:val="28"/>
          <w:szCs w:val="28"/>
          <w:lang w:val="nl-NL"/>
        </w:rPr>
        <w:t>2024</w:t>
      </w:r>
      <w:r>
        <w:rPr>
          <w:sz w:val="28"/>
          <w:szCs w:val="28"/>
          <w:lang w:val="nl-NL"/>
        </w:rPr>
        <w:t>.</w:t>
      </w:r>
    </w:p>
    <w:p w14:paraId="7EB52A8E" w14:textId="77777777" w:rsidR="00B95ECA" w:rsidRPr="00620D3F" w:rsidRDefault="00B95ECA" w:rsidP="00A07022">
      <w:pPr>
        <w:spacing w:after="160" w:line="259" w:lineRule="auto"/>
        <w:ind w:firstLine="567"/>
        <w:jc w:val="both"/>
        <w:rPr>
          <w:sz w:val="28"/>
          <w:szCs w:val="28"/>
          <w:lang w:val="nl-NL"/>
        </w:rPr>
      </w:pPr>
      <w:r w:rsidRPr="002242BD">
        <w:rPr>
          <w:sz w:val="28"/>
          <w:szCs w:val="28"/>
          <w:lang w:val="nl-NL"/>
        </w:rPr>
        <w:t xml:space="preserve">+ </w:t>
      </w:r>
      <w:r w:rsidRPr="00620D3F">
        <w:rPr>
          <w:sz w:val="28"/>
          <w:szCs w:val="28"/>
          <w:lang w:val="nl-NL"/>
        </w:rPr>
        <w:t xml:space="preserve">Tác động: Giảm </w:t>
      </w:r>
      <w:r>
        <w:rPr>
          <w:sz w:val="28"/>
          <w:szCs w:val="28"/>
          <w:lang w:val="nl-NL"/>
        </w:rPr>
        <w:t xml:space="preserve">sự </w:t>
      </w:r>
      <w:r w:rsidRPr="00620D3F">
        <w:rPr>
          <w:sz w:val="28"/>
          <w:szCs w:val="28"/>
          <w:lang w:val="nl-NL"/>
        </w:rPr>
        <w:t xml:space="preserve">chồng chéo, tăng </w:t>
      </w:r>
      <w:r>
        <w:rPr>
          <w:sz w:val="28"/>
          <w:szCs w:val="28"/>
          <w:lang w:val="nl-NL"/>
        </w:rPr>
        <w:t xml:space="preserve">cường </w:t>
      </w:r>
      <w:r w:rsidRPr="00620D3F">
        <w:rPr>
          <w:sz w:val="28"/>
          <w:szCs w:val="28"/>
          <w:lang w:val="nl-NL"/>
        </w:rPr>
        <w:t>quản lý địa chất</w:t>
      </w:r>
      <w:r>
        <w:rPr>
          <w:sz w:val="28"/>
          <w:szCs w:val="28"/>
          <w:lang w:val="nl-NL"/>
        </w:rPr>
        <w:t xml:space="preserve"> và đảm bảo</w:t>
      </w:r>
      <w:r w:rsidRPr="00620D3F">
        <w:rPr>
          <w:sz w:val="28"/>
          <w:szCs w:val="28"/>
          <w:lang w:val="nl-NL"/>
        </w:rPr>
        <w:t xml:space="preserve"> phù hợp thực tiễn. </w:t>
      </w:r>
      <w:r w:rsidRPr="002242BD">
        <w:rPr>
          <w:sz w:val="28"/>
          <w:szCs w:val="28"/>
          <w:lang w:val="nl-NL"/>
        </w:rPr>
        <w:t xml:space="preserve"> </w:t>
      </w:r>
    </w:p>
    <w:p w14:paraId="072E8B84" w14:textId="77777777" w:rsidR="00B95ECA" w:rsidRPr="00620D3F" w:rsidRDefault="00B95ECA" w:rsidP="00A07022">
      <w:pPr>
        <w:spacing w:after="160" w:line="259" w:lineRule="auto"/>
        <w:ind w:firstLine="709"/>
        <w:jc w:val="both"/>
        <w:rPr>
          <w:i/>
          <w:iCs/>
          <w:sz w:val="28"/>
          <w:szCs w:val="28"/>
          <w:lang w:val="nl-NL"/>
        </w:rPr>
      </w:pPr>
      <w:r w:rsidRPr="002242BD">
        <w:rPr>
          <w:i/>
          <w:iCs/>
          <w:sz w:val="28"/>
          <w:szCs w:val="28"/>
          <w:lang w:val="nl-NL"/>
        </w:rPr>
        <w:t xml:space="preserve">- </w:t>
      </w:r>
      <w:r w:rsidRPr="00620D3F">
        <w:rPr>
          <w:i/>
          <w:iCs/>
          <w:sz w:val="28"/>
          <w:szCs w:val="28"/>
          <w:lang w:val="nl-NL"/>
        </w:rPr>
        <w:t xml:space="preserve"> So sánh về hình thức xử phạt và biện pháp khắc phục hậu quả</w:t>
      </w:r>
    </w:p>
    <w:p w14:paraId="1FAAF93B" w14:textId="77777777" w:rsidR="00B95ECA" w:rsidRPr="00620D3F" w:rsidRDefault="00B95ECA" w:rsidP="00A07022">
      <w:pPr>
        <w:spacing w:after="160" w:line="259" w:lineRule="auto"/>
        <w:ind w:firstLine="709"/>
        <w:jc w:val="both"/>
        <w:rPr>
          <w:sz w:val="28"/>
          <w:szCs w:val="28"/>
          <w:lang w:val="nl-NL"/>
        </w:rPr>
      </w:pPr>
      <w:r w:rsidRPr="002242BD">
        <w:rPr>
          <w:sz w:val="28"/>
          <w:szCs w:val="28"/>
          <w:lang w:val="nl-NL"/>
        </w:rPr>
        <w:t xml:space="preserve">+ </w:t>
      </w:r>
      <w:r w:rsidRPr="00620D3F">
        <w:rPr>
          <w:sz w:val="28"/>
          <w:szCs w:val="28"/>
          <w:lang w:val="nl-NL"/>
        </w:rPr>
        <w:t>Hiện hành: Tước giấy phép (</w:t>
      </w:r>
      <w:r>
        <w:rPr>
          <w:sz w:val="28"/>
          <w:szCs w:val="28"/>
          <w:lang w:val="nl-NL"/>
        </w:rPr>
        <w:t>0</w:t>
      </w:r>
      <w:r w:rsidRPr="00620D3F">
        <w:rPr>
          <w:sz w:val="28"/>
          <w:szCs w:val="28"/>
          <w:lang w:val="nl-NL"/>
        </w:rPr>
        <w:t>1-24 tháng), tịch thu tang vật, biện pháp khắc phục (phục hồi môi trường, nộp lợi bất hợp pháp).</w:t>
      </w:r>
    </w:p>
    <w:p w14:paraId="7D2821B3" w14:textId="77777777" w:rsidR="00B95ECA" w:rsidRPr="00620D3F" w:rsidRDefault="00B95ECA" w:rsidP="00A07022">
      <w:pPr>
        <w:spacing w:after="160" w:line="259" w:lineRule="auto"/>
        <w:ind w:firstLine="709"/>
        <w:jc w:val="both"/>
        <w:rPr>
          <w:sz w:val="28"/>
          <w:szCs w:val="28"/>
          <w:lang w:val="nl-NL"/>
        </w:rPr>
      </w:pPr>
      <w:r w:rsidRPr="002242BD">
        <w:rPr>
          <w:sz w:val="28"/>
          <w:szCs w:val="28"/>
          <w:lang w:val="nl-NL"/>
        </w:rPr>
        <w:t xml:space="preserve">+ </w:t>
      </w:r>
      <w:r w:rsidRPr="00620D3F">
        <w:rPr>
          <w:sz w:val="28"/>
          <w:szCs w:val="28"/>
          <w:lang w:val="nl-NL"/>
        </w:rPr>
        <w:t xml:space="preserve">Dự thảo: Bãi bỏ tước giấy phép, thay </w:t>
      </w:r>
      <w:r>
        <w:rPr>
          <w:sz w:val="28"/>
          <w:szCs w:val="28"/>
          <w:lang w:val="nl-NL"/>
        </w:rPr>
        <w:t xml:space="preserve">bằng hình thức </w:t>
      </w:r>
      <w:r w:rsidRPr="00620D3F">
        <w:rPr>
          <w:sz w:val="28"/>
          <w:szCs w:val="28"/>
          <w:lang w:val="nl-NL"/>
        </w:rPr>
        <w:t>đình chỉ</w:t>
      </w:r>
      <w:r>
        <w:rPr>
          <w:sz w:val="28"/>
          <w:szCs w:val="28"/>
          <w:lang w:val="nl-NL"/>
        </w:rPr>
        <w:t xml:space="preserve"> hoạt động từ</w:t>
      </w:r>
      <w:r w:rsidRPr="00620D3F">
        <w:rPr>
          <w:sz w:val="28"/>
          <w:szCs w:val="28"/>
          <w:lang w:val="nl-NL"/>
        </w:rPr>
        <w:t xml:space="preserve"> 1-12 tháng; bổ sung biện pháp như huấn luyện an toàn, cải chính dữ liệu; </w:t>
      </w:r>
      <w:r>
        <w:rPr>
          <w:sz w:val="28"/>
          <w:szCs w:val="28"/>
          <w:lang w:val="nl-NL"/>
        </w:rPr>
        <w:t xml:space="preserve">lựa chọn </w:t>
      </w:r>
      <w:r w:rsidRPr="00620D3F">
        <w:rPr>
          <w:sz w:val="28"/>
          <w:szCs w:val="28"/>
          <w:lang w:val="nl-NL"/>
        </w:rPr>
        <w:t xml:space="preserve">Phương án 2 </w:t>
      </w:r>
      <w:r>
        <w:rPr>
          <w:sz w:val="28"/>
          <w:szCs w:val="28"/>
          <w:lang w:val="nl-NL"/>
        </w:rPr>
        <w:t xml:space="preserve">trong xác định số </w:t>
      </w:r>
      <w:r w:rsidRPr="00620D3F">
        <w:rPr>
          <w:sz w:val="28"/>
          <w:szCs w:val="28"/>
          <w:lang w:val="nl-NL"/>
        </w:rPr>
        <w:t>lợi bất hợp pháp</w:t>
      </w:r>
      <w:r>
        <w:rPr>
          <w:sz w:val="28"/>
          <w:szCs w:val="28"/>
          <w:lang w:val="nl-NL"/>
        </w:rPr>
        <w:t>.</w:t>
      </w:r>
    </w:p>
    <w:p w14:paraId="07A1C4FF" w14:textId="77777777" w:rsidR="00B95ECA" w:rsidRPr="00620D3F" w:rsidRDefault="00B95ECA" w:rsidP="00A07022">
      <w:pPr>
        <w:spacing w:after="160" w:line="259" w:lineRule="auto"/>
        <w:ind w:firstLine="709"/>
        <w:jc w:val="both"/>
        <w:rPr>
          <w:sz w:val="28"/>
          <w:szCs w:val="28"/>
          <w:lang w:val="nl-NL"/>
        </w:rPr>
      </w:pPr>
      <w:r w:rsidRPr="002242BD">
        <w:rPr>
          <w:sz w:val="28"/>
          <w:szCs w:val="28"/>
          <w:lang w:val="nl-NL"/>
        </w:rPr>
        <w:t xml:space="preserve">+ </w:t>
      </w:r>
      <w:r w:rsidRPr="00620D3F">
        <w:rPr>
          <w:sz w:val="28"/>
          <w:szCs w:val="28"/>
          <w:lang w:val="nl-NL"/>
        </w:rPr>
        <w:t xml:space="preserve">Thay đổi: </w:t>
      </w:r>
      <w:r>
        <w:rPr>
          <w:sz w:val="28"/>
          <w:szCs w:val="28"/>
          <w:lang w:val="nl-NL"/>
        </w:rPr>
        <w:t>Không trừ chi phí trực tiếp khi xác định số lợi bất hợp pháp.</w:t>
      </w:r>
    </w:p>
    <w:p w14:paraId="640F0C94" w14:textId="77777777" w:rsidR="00B95ECA" w:rsidRPr="00620D3F" w:rsidRDefault="00B95ECA" w:rsidP="00A07022">
      <w:pPr>
        <w:spacing w:after="160" w:line="259" w:lineRule="auto"/>
        <w:ind w:firstLine="709"/>
        <w:jc w:val="both"/>
        <w:rPr>
          <w:sz w:val="28"/>
          <w:szCs w:val="28"/>
          <w:lang w:val="nl-NL"/>
        </w:rPr>
      </w:pPr>
      <w:r w:rsidRPr="002242BD">
        <w:rPr>
          <w:sz w:val="28"/>
          <w:szCs w:val="28"/>
          <w:lang w:val="nl-NL"/>
        </w:rPr>
        <w:t xml:space="preserve">+ </w:t>
      </w:r>
      <w:r w:rsidRPr="00620D3F">
        <w:rPr>
          <w:sz w:val="28"/>
          <w:szCs w:val="28"/>
          <w:lang w:val="nl-NL"/>
        </w:rPr>
        <w:t xml:space="preserve">Tác động: </w:t>
      </w:r>
      <w:r>
        <w:rPr>
          <w:sz w:val="28"/>
          <w:szCs w:val="28"/>
          <w:lang w:val="nl-NL"/>
        </w:rPr>
        <w:t>Hỗ trợ doanh nghiệp đặc biệt là người lao động trực tiếp, g</w:t>
      </w:r>
      <w:r w:rsidRPr="00620D3F">
        <w:rPr>
          <w:sz w:val="28"/>
          <w:szCs w:val="28"/>
          <w:lang w:val="nl-NL"/>
        </w:rPr>
        <w:t>iảm hệ lụy kinh tế, tăng</w:t>
      </w:r>
      <w:r>
        <w:rPr>
          <w:sz w:val="28"/>
          <w:szCs w:val="28"/>
          <w:lang w:val="nl-NL"/>
        </w:rPr>
        <w:t xml:space="preserve"> tính</w:t>
      </w:r>
      <w:r w:rsidRPr="00620D3F">
        <w:rPr>
          <w:sz w:val="28"/>
          <w:szCs w:val="28"/>
          <w:lang w:val="nl-NL"/>
        </w:rPr>
        <w:t xml:space="preserve"> răn đe</w:t>
      </w:r>
      <w:r>
        <w:rPr>
          <w:sz w:val="28"/>
          <w:szCs w:val="28"/>
          <w:lang w:val="nl-NL"/>
        </w:rPr>
        <w:t>.</w:t>
      </w:r>
    </w:p>
    <w:p w14:paraId="50E17C6B" w14:textId="7E0B1D43" w:rsidR="00B95ECA" w:rsidRPr="00AA1C51" w:rsidRDefault="00B95ECA" w:rsidP="00B95ECA">
      <w:pPr>
        <w:spacing w:before="120" w:after="240" w:line="340" w:lineRule="exact"/>
        <w:ind w:firstLine="720"/>
        <w:jc w:val="both"/>
        <w:rPr>
          <w:color w:val="000000" w:themeColor="text1"/>
          <w:sz w:val="28"/>
          <w:szCs w:val="28"/>
          <w:lang w:val="vi-VN"/>
        </w:rPr>
      </w:pPr>
      <w:r w:rsidRPr="00AA1C51">
        <w:rPr>
          <w:color w:val="000000" w:themeColor="text1"/>
          <w:sz w:val="28"/>
          <w:szCs w:val="28"/>
          <w:lang w:val="vi-VN"/>
        </w:rPr>
        <w:t xml:space="preserve">Trên đây là Báo cáo đánh giá tác động chính sách trong dự thảo Nghị định quy định </w:t>
      </w:r>
      <w:r w:rsidRPr="00AA1C51">
        <w:rPr>
          <w:color w:val="000000" w:themeColor="text1"/>
          <w:sz w:val="28"/>
          <w:szCs w:val="28"/>
          <w:lang w:val="nl-NL"/>
        </w:rPr>
        <w:t>xử phạt vi phạm hành chính trong lĩnh vực khoáng sản</w:t>
      </w:r>
      <w:r w:rsidRPr="00AA1C51">
        <w:rPr>
          <w:color w:val="000000" w:themeColor="text1"/>
          <w:sz w:val="28"/>
          <w:szCs w:val="28"/>
          <w:lang w:val="vi-VN"/>
        </w:rPr>
        <w:t>, Bộ Nông nghiệp và Môi trường kính trình Chính phủ xem xét, quyết định./.</w:t>
      </w:r>
    </w:p>
    <w:tbl>
      <w:tblPr>
        <w:tblStyle w:val="Style46"/>
        <w:tblW w:w="8912" w:type="dxa"/>
        <w:tblLayout w:type="fixed"/>
        <w:tblLook w:val="04A0" w:firstRow="1" w:lastRow="0" w:firstColumn="1" w:lastColumn="0" w:noHBand="0" w:noVBand="1"/>
      </w:tblPr>
      <w:tblGrid>
        <w:gridCol w:w="5495"/>
        <w:gridCol w:w="3417"/>
      </w:tblGrid>
      <w:tr w:rsidR="00AA1C51" w:rsidRPr="003450DC" w14:paraId="3C14627C" w14:textId="77777777">
        <w:tc>
          <w:tcPr>
            <w:tcW w:w="5495" w:type="dxa"/>
          </w:tcPr>
          <w:p w14:paraId="0D8C0375" w14:textId="57F4A57D" w:rsidR="00207EC6" w:rsidRPr="00AA1C51" w:rsidRDefault="00207EC6">
            <w:pPr>
              <w:jc w:val="both"/>
              <w:rPr>
                <w:color w:val="000000" w:themeColor="text1"/>
                <w:szCs w:val="28"/>
                <w:lang w:val="vi-VN"/>
              </w:rPr>
            </w:pPr>
            <w:bookmarkStart w:id="22" w:name="_Hlk159488004"/>
          </w:p>
        </w:tc>
        <w:tc>
          <w:tcPr>
            <w:tcW w:w="3417" w:type="dxa"/>
          </w:tcPr>
          <w:p w14:paraId="3F3A567A" w14:textId="5DA9D8F2" w:rsidR="00207EC6" w:rsidRPr="00AA1C51" w:rsidRDefault="00207EC6" w:rsidP="00D206F3">
            <w:pPr>
              <w:spacing w:before="120"/>
              <w:jc w:val="center"/>
              <w:rPr>
                <w:b/>
                <w:color w:val="000000" w:themeColor="text1"/>
                <w:sz w:val="28"/>
                <w:szCs w:val="28"/>
                <w:lang w:val="vi-VN"/>
              </w:rPr>
            </w:pPr>
          </w:p>
        </w:tc>
      </w:tr>
      <w:bookmarkEnd w:id="22"/>
    </w:tbl>
    <w:p w14:paraId="7513098F" w14:textId="77777777" w:rsidR="00207EC6" w:rsidRPr="00AA1C51" w:rsidRDefault="00207EC6" w:rsidP="00D206F3">
      <w:pPr>
        <w:spacing w:before="120" w:after="120"/>
        <w:jc w:val="both"/>
        <w:rPr>
          <w:color w:val="000000" w:themeColor="text1"/>
          <w:szCs w:val="28"/>
          <w:lang w:val="vi-VN"/>
        </w:rPr>
      </w:pPr>
    </w:p>
    <w:sectPr w:rsidR="00207EC6" w:rsidRPr="00AA1C51" w:rsidSect="003450DC">
      <w:headerReference w:type="default" r:id="rId8"/>
      <w:pgSz w:w="11907" w:h="16840"/>
      <w:pgMar w:top="1134" w:right="1134" w:bottom="1134" w:left="1701" w:header="567"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88825" w14:textId="77777777" w:rsidR="00933002" w:rsidRDefault="00933002">
      <w:r>
        <w:separator/>
      </w:r>
    </w:p>
  </w:endnote>
  <w:endnote w:type="continuationSeparator" w:id="0">
    <w:p w14:paraId="586FB877" w14:textId="77777777" w:rsidR="00933002" w:rsidRDefault="00933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6E039" w14:textId="77777777" w:rsidR="00933002" w:rsidRDefault="00933002">
      <w:r>
        <w:separator/>
      </w:r>
    </w:p>
  </w:footnote>
  <w:footnote w:type="continuationSeparator" w:id="0">
    <w:p w14:paraId="338C05A6" w14:textId="77777777" w:rsidR="00933002" w:rsidRDefault="00933002">
      <w:r>
        <w:continuationSeparator/>
      </w:r>
    </w:p>
  </w:footnote>
  <w:footnote w:id="1">
    <w:p w14:paraId="49E6C050" w14:textId="77777777" w:rsidR="004E5210" w:rsidRDefault="004E5210" w:rsidP="004E5210">
      <w:pPr>
        <w:pStyle w:val="FootnoteText"/>
        <w:jc w:val="both"/>
      </w:pPr>
      <w:r>
        <w:rPr>
          <w:rStyle w:val="FootnoteReference"/>
        </w:rPr>
        <w:footnoteRef/>
      </w:r>
      <w:r>
        <w:t xml:space="preserve"> </w:t>
      </w:r>
      <w:r w:rsidRPr="009850C8">
        <w:t>Bộ Công an (Văn bản số 788/BCT-CSKT ngày 08/3/2024, số 459/C05-P3 ngày 06/3/2024 và số 695/BC-BCA-ANKT ngày 08/4/2024), Bộ Tư pháp (Văn bản số 3769/BTP-PLHSHC ngày 05/10/2022 và số 1733/BTP-PLDSKT ngày 04/5/2023), Bộ Công thương (Văn bản số 6084/BCT-DKT ngày 05/9/2023, Báo cáo số 2621/BCT-DKT ngày 19/4/2024) và một số địa phương (Lào Cai, Hà Tĩnh...)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2F0BE" w14:textId="77777777" w:rsidR="00207EC6" w:rsidRDefault="00836E7A">
    <w:pP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color w:val="000000"/>
      </w:rPr>
      <w:t>59</w:t>
    </w:r>
    <w:r>
      <w:rPr>
        <w:color w:val="000000"/>
      </w:rPr>
      <w:fldChar w:fldCharType="end"/>
    </w:r>
  </w:p>
  <w:p w14:paraId="312A869C" w14:textId="77777777" w:rsidR="00207EC6" w:rsidRDefault="00207EC6">
    <w:pPr>
      <w:widowControl w:val="0"/>
      <w:spacing w:line="276"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7845"/>
    <w:multiLevelType w:val="hybridMultilevel"/>
    <w:tmpl w:val="1C961FB4"/>
    <w:lvl w:ilvl="0" w:tplc="D012C52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0C373B"/>
    <w:multiLevelType w:val="hybridMultilevel"/>
    <w:tmpl w:val="DBFAC84C"/>
    <w:lvl w:ilvl="0" w:tplc="FB6021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F86655"/>
    <w:multiLevelType w:val="hybridMultilevel"/>
    <w:tmpl w:val="7C821518"/>
    <w:lvl w:ilvl="0" w:tplc="CE9CDDAA">
      <w:start w:val="7"/>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021"/>
    <w:multiLevelType w:val="hybridMultilevel"/>
    <w:tmpl w:val="6672A8F4"/>
    <w:lvl w:ilvl="0" w:tplc="621C2196">
      <w:start w:val="1"/>
      <w:numFmt w:val="upperLetter"/>
      <w:lvlText w:val="%1."/>
      <w:lvlJc w:val="left"/>
      <w:pPr>
        <w:ind w:left="1920" w:hanging="360"/>
      </w:pPr>
      <w:rPr>
        <w:rFonts w:hint="default"/>
        <w:color w:val="000000" w:themeColor="text1"/>
        <w:sz w:val="28"/>
      </w:rPr>
    </w:lvl>
    <w:lvl w:ilvl="1" w:tplc="174617F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22EF5"/>
    <w:multiLevelType w:val="hybridMultilevel"/>
    <w:tmpl w:val="321CBC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3646EF"/>
    <w:multiLevelType w:val="hybridMultilevel"/>
    <w:tmpl w:val="1E6EC1F4"/>
    <w:lvl w:ilvl="0" w:tplc="120CD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458DF"/>
    <w:multiLevelType w:val="hybridMultilevel"/>
    <w:tmpl w:val="64D81562"/>
    <w:lvl w:ilvl="0" w:tplc="B380BA1A">
      <w:start w:val="1"/>
      <w:numFmt w:val="bullet"/>
      <w:lvlText w:val="v"/>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BED0400"/>
    <w:multiLevelType w:val="hybridMultilevel"/>
    <w:tmpl w:val="A4E0D256"/>
    <w:lvl w:ilvl="0" w:tplc="163A1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F34042"/>
    <w:multiLevelType w:val="hybridMultilevel"/>
    <w:tmpl w:val="E48677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2D73D5"/>
    <w:multiLevelType w:val="hybridMultilevel"/>
    <w:tmpl w:val="77A677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A62392D"/>
    <w:multiLevelType w:val="hybridMultilevel"/>
    <w:tmpl w:val="427C0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0643E"/>
    <w:multiLevelType w:val="hybridMultilevel"/>
    <w:tmpl w:val="FACE7A5E"/>
    <w:lvl w:ilvl="0" w:tplc="979A86CA">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1644CC"/>
    <w:multiLevelType w:val="hybridMultilevel"/>
    <w:tmpl w:val="1C2E983C"/>
    <w:lvl w:ilvl="0" w:tplc="50EAAE38">
      <w:start w:val="2"/>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9FB1ED1"/>
    <w:multiLevelType w:val="hybridMultilevel"/>
    <w:tmpl w:val="CFCC4778"/>
    <w:lvl w:ilvl="0" w:tplc="D0E6B47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F80807"/>
    <w:multiLevelType w:val="hybridMultilevel"/>
    <w:tmpl w:val="F44EE1F0"/>
    <w:lvl w:ilvl="0" w:tplc="BEF2FD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1D71E0"/>
    <w:multiLevelType w:val="hybridMultilevel"/>
    <w:tmpl w:val="78FAB344"/>
    <w:lvl w:ilvl="0" w:tplc="5FE2D12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D6B4374"/>
    <w:multiLevelType w:val="hybridMultilevel"/>
    <w:tmpl w:val="16C02CA8"/>
    <w:lvl w:ilvl="0" w:tplc="59AA3048">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F495EAF"/>
    <w:multiLevelType w:val="hybridMultilevel"/>
    <w:tmpl w:val="F1946580"/>
    <w:lvl w:ilvl="0" w:tplc="58204C66">
      <w:start w:val="1"/>
      <w:numFmt w:val="bullet"/>
      <w:lvlText w:val="-"/>
      <w:lvlJc w:val="left"/>
      <w:pPr>
        <w:ind w:left="1440" w:hanging="360"/>
      </w:pPr>
      <w:rPr>
        <w:rFonts w:ascii="Times New Roman" w:eastAsia="Calibri" w:hAnsi="Times New Roman" w:cs="Times New Roman"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58DD6CAF"/>
    <w:multiLevelType w:val="hybridMultilevel"/>
    <w:tmpl w:val="4AE0D8F4"/>
    <w:lvl w:ilvl="0" w:tplc="8700807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0BF488F"/>
    <w:multiLevelType w:val="hybridMultilevel"/>
    <w:tmpl w:val="C890B7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1EC5546"/>
    <w:multiLevelType w:val="multilevel"/>
    <w:tmpl w:val="61EC5546"/>
    <w:lvl w:ilvl="0">
      <w:start w:val="3"/>
      <w:numFmt w:val="decimal"/>
      <w:lvlText w:val="%1."/>
      <w:lvlJc w:val="left"/>
      <w:pPr>
        <w:ind w:left="630" w:hanging="63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68E15848"/>
    <w:multiLevelType w:val="hybridMultilevel"/>
    <w:tmpl w:val="427C0B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8D3CE0"/>
    <w:multiLevelType w:val="hybridMultilevel"/>
    <w:tmpl w:val="BDF29B06"/>
    <w:lvl w:ilvl="0" w:tplc="0409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6D1E6317"/>
    <w:multiLevelType w:val="hybridMultilevel"/>
    <w:tmpl w:val="730E3A68"/>
    <w:lvl w:ilvl="0" w:tplc="047C554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2E039C5"/>
    <w:multiLevelType w:val="hybridMultilevel"/>
    <w:tmpl w:val="EFC61070"/>
    <w:lvl w:ilvl="0" w:tplc="B380BA1A">
      <w:start w:val="1"/>
      <w:numFmt w:val="bullet"/>
      <w:lvlText w:val="v"/>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CC144D1"/>
    <w:multiLevelType w:val="multilevel"/>
    <w:tmpl w:val="7CC144D1"/>
    <w:lvl w:ilvl="0">
      <w:start w:val="1"/>
      <w:numFmt w:val="lowerLetter"/>
      <w:suff w:val="space"/>
      <w:lvlText w:val="%1)"/>
      <w:lvlJc w:val="left"/>
      <w:pPr>
        <w:ind w:left="1440" w:hanging="360"/>
      </w:pPr>
      <w:rPr>
        <w:rFonts w:ascii="Times New Roman" w:eastAsiaTheme="minorHAnsi" w:hAnsi="Times New Roman" w:cs="Times New Roman"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7CF1763F"/>
    <w:multiLevelType w:val="hybridMultilevel"/>
    <w:tmpl w:val="60E6B8BA"/>
    <w:lvl w:ilvl="0" w:tplc="58204C6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2274478">
    <w:abstractNumId w:val="25"/>
  </w:num>
  <w:num w:numId="2" w16cid:durableId="766005106">
    <w:abstractNumId w:val="20"/>
  </w:num>
  <w:num w:numId="3" w16cid:durableId="1672610539">
    <w:abstractNumId w:val="5"/>
  </w:num>
  <w:num w:numId="4" w16cid:durableId="1018041324">
    <w:abstractNumId w:val="7"/>
  </w:num>
  <w:num w:numId="5" w16cid:durableId="1707830843">
    <w:abstractNumId w:val="26"/>
  </w:num>
  <w:num w:numId="6" w16cid:durableId="1361008536">
    <w:abstractNumId w:val="8"/>
  </w:num>
  <w:num w:numId="7" w16cid:durableId="815337825">
    <w:abstractNumId w:val="24"/>
  </w:num>
  <w:num w:numId="8" w16cid:durableId="1321468306">
    <w:abstractNumId w:val="19"/>
  </w:num>
  <w:num w:numId="9" w16cid:durableId="21786688">
    <w:abstractNumId w:val="6"/>
  </w:num>
  <w:num w:numId="10" w16cid:durableId="191193987">
    <w:abstractNumId w:val="14"/>
  </w:num>
  <w:num w:numId="11" w16cid:durableId="535243248">
    <w:abstractNumId w:val="12"/>
  </w:num>
  <w:num w:numId="12" w16cid:durableId="2019230393">
    <w:abstractNumId w:val="15"/>
  </w:num>
  <w:num w:numId="13" w16cid:durableId="1258564169">
    <w:abstractNumId w:val="2"/>
  </w:num>
  <w:num w:numId="14" w16cid:durableId="2022580745">
    <w:abstractNumId w:val="13"/>
  </w:num>
  <w:num w:numId="15" w16cid:durableId="1116872017">
    <w:abstractNumId w:val="0"/>
  </w:num>
  <w:num w:numId="16" w16cid:durableId="1701541266">
    <w:abstractNumId w:val="18"/>
  </w:num>
  <w:num w:numId="17" w16cid:durableId="708652442">
    <w:abstractNumId w:val="11"/>
  </w:num>
  <w:num w:numId="18" w16cid:durableId="406193682">
    <w:abstractNumId w:val="1"/>
  </w:num>
  <w:num w:numId="19" w16cid:durableId="723673514">
    <w:abstractNumId w:val="17"/>
  </w:num>
  <w:num w:numId="20" w16cid:durableId="333604799">
    <w:abstractNumId w:val="22"/>
  </w:num>
  <w:num w:numId="21" w16cid:durableId="59139999">
    <w:abstractNumId w:val="23"/>
  </w:num>
  <w:num w:numId="22" w16cid:durableId="1110513302">
    <w:abstractNumId w:val="9"/>
  </w:num>
  <w:num w:numId="23" w16cid:durableId="1033001113">
    <w:abstractNumId w:val="10"/>
  </w:num>
  <w:num w:numId="24" w16cid:durableId="319232723">
    <w:abstractNumId w:val="16"/>
  </w:num>
  <w:num w:numId="25" w16cid:durableId="956254906">
    <w:abstractNumId w:val="4"/>
  </w:num>
  <w:num w:numId="26" w16cid:durableId="1179999682">
    <w:abstractNumId w:val="3"/>
  </w:num>
  <w:num w:numId="27" w16cid:durableId="4538675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6BD"/>
    <w:rsid w:val="000018BC"/>
    <w:rsid w:val="00001F24"/>
    <w:rsid w:val="000022AD"/>
    <w:rsid w:val="0000338A"/>
    <w:rsid w:val="000073D4"/>
    <w:rsid w:val="00007864"/>
    <w:rsid w:val="0001041E"/>
    <w:rsid w:val="00011430"/>
    <w:rsid w:val="00011687"/>
    <w:rsid w:val="000116BD"/>
    <w:rsid w:val="0001176E"/>
    <w:rsid w:val="00013448"/>
    <w:rsid w:val="00013449"/>
    <w:rsid w:val="00013656"/>
    <w:rsid w:val="00013CA8"/>
    <w:rsid w:val="0001481A"/>
    <w:rsid w:val="00015210"/>
    <w:rsid w:val="000160E1"/>
    <w:rsid w:val="00017A09"/>
    <w:rsid w:val="0002002D"/>
    <w:rsid w:val="00021E94"/>
    <w:rsid w:val="000221A4"/>
    <w:rsid w:val="00022664"/>
    <w:rsid w:val="00023C0A"/>
    <w:rsid w:val="0002554B"/>
    <w:rsid w:val="00026F2B"/>
    <w:rsid w:val="000277BE"/>
    <w:rsid w:val="000335CC"/>
    <w:rsid w:val="00033746"/>
    <w:rsid w:val="00034B08"/>
    <w:rsid w:val="00035535"/>
    <w:rsid w:val="00035B48"/>
    <w:rsid w:val="00035C29"/>
    <w:rsid w:val="00035EC2"/>
    <w:rsid w:val="00037684"/>
    <w:rsid w:val="00040288"/>
    <w:rsid w:val="000407B1"/>
    <w:rsid w:val="000428E4"/>
    <w:rsid w:val="00043831"/>
    <w:rsid w:val="00043961"/>
    <w:rsid w:val="000442B4"/>
    <w:rsid w:val="0004470A"/>
    <w:rsid w:val="000454BA"/>
    <w:rsid w:val="0004688F"/>
    <w:rsid w:val="00046CC8"/>
    <w:rsid w:val="00046FD0"/>
    <w:rsid w:val="00047346"/>
    <w:rsid w:val="00047DBA"/>
    <w:rsid w:val="00052C6C"/>
    <w:rsid w:val="00053385"/>
    <w:rsid w:val="00053C79"/>
    <w:rsid w:val="0005550A"/>
    <w:rsid w:val="00057511"/>
    <w:rsid w:val="000577F4"/>
    <w:rsid w:val="00057EA4"/>
    <w:rsid w:val="00060812"/>
    <w:rsid w:val="000615F7"/>
    <w:rsid w:val="000616AE"/>
    <w:rsid w:val="00061BF1"/>
    <w:rsid w:val="00062A98"/>
    <w:rsid w:val="00062FF8"/>
    <w:rsid w:val="00063BBB"/>
    <w:rsid w:val="000672F3"/>
    <w:rsid w:val="0006778C"/>
    <w:rsid w:val="000700D9"/>
    <w:rsid w:val="00070139"/>
    <w:rsid w:val="0007465B"/>
    <w:rsid w:val="00074EA9"/>
    <w:rsid w:val="00075690"/>
    <w:rsid w:val="0008049B"/>
    <w:rsid w:val="000807C7"/>
    <w:rsid w:val="00081F85"/>
    <w:rsid w:val="00084452"/>
    <w:rsid w:val="000858C6"/>
    <w:rsid w:val="00085F23"/>
    <w:rsid w:val="00086492"/>
    <w:rsid w:val="0008764D"/>
    <w:rsid w:val="0009088D"/>
    <w:rsid w:val="00090AB7"/>
    <w:rsid w:val="0009137C"/>
    <w:rsid w:val="000918D2"/>
    <w:rsid w:val="00092AE1"/>
    <w:rsid w:val="00094620"/>
    <w:rsid w:val="00095E8F"/>
    <w:rsid w:val="00096AF9"/>
    <w:rsid w:val="00096C4E"/>
    <w:rsid w:val="000A085C"/>
    <w:rsid w:val="000A4F42"/>
    <w:rsid w:val="000A5264"/>
    <w:rsid w:val="000A533F"/>
    <w:rsid w:val="000A53DB"/>
    <w:rsid w:val="000A6140"/>
    <w:rsid w:val="000A69E7"/>
    <w:rsid w:val="000A713C"/>
    <w:rsid w:val="000B0124"/>
    <w:rsid w:val="000B0D15"/>
    <w:rsid w:val="000B2977"/>
    <w:rsid w:val="000B3718"/>
    <w:rsid w:val="000B4A8B"/>
    <w:rsid w:val="000B4FAD"/>
    <w:rsid w:val="000B517E"/>
    <w:rsid w:val="000B5252"/>
    <w:rsid w:val="000B63C7"/>
    <w:rsid w:val="000C038C"/>
    <w:rsid w:val="000C047E"/>
    <w:rsid w:val="000C2C24"/>
    <w:rsid w:val="000C2DC9"/>
    <w:rsid w:val="000C33AD"/>
    <w:rsid w:val="000C427F"/>
    <w:rsid w:val="000C759B"/>
    <w:rsid w:val="000C75B5"/>
    <w:rsid w:val="000D0D43"/>
    <w:rsid w:val="000D108B"/>
    <w:rsid w:val="000D1F27"/>
    <w:rsid w:val="000D338B"/>
    <w:rsid w:val="000D4C93"/>
    <w:rsid w:val="000E02C7"/>
    <w:rsid w:val="000E0E75"/>
    <w:rsid w:val="000E1741"/>
    <w:rsid w:val="000E5B34"/>
    <w:rsid w:val="000E6AD3"/>
    <w:rsid w:val="000E73E7"/>
    <w:rsid w:val="000F1981"/>
    <w:rsid w:val="000F1FF8"/>
    <w:rsid w:val="000F21CA"/>
    <w:rsid w:val="000F3277"/>
    <w:rsid w:val="000F63C2"/>
    <w:rsid w:val="000F6638"/>
    <w:rsid w:val="0010232A"/>
    <w:rsid w:val="00103EB1"/>
    <w:rsid w:val="00104356"/>
    <w:rsid w:val="00106B09"/>
    <w:rsid w:val="00110247"/>
    <w:rsid w:val="00110BBB"/>
    <w:rsid w:val="00112B15"/>
    <w:rsid w:val="0011317B"/>
    <w:rsid w:val="0011507D"/>
    <w:rsid w:val="0011547E"/>
    <w:rsid w:val="00116352"/>
    <w:rsid w:val="00116F52"/>
    <w:rsid w:val="001224E1"/>
    <w:rsid w:val="001227B7"/>
    <w:rsid w:val="0012436E"/>
    <w:rsid w:val="00124C58"/>
    <w:rsid w:val="00124EA1"/>
    <w:rsid w:val="0012546D"/>
    <w:rsid w:val="001267FA"/>
    <w:rsid w:val="0012785F"/>
    <w:rsid w:val="00127FD4"/>
    <w:rsid w:val="001314F2"/>
    <w:rsid w:val="001325A6"/>
    <w:rsid w:val="00132FDF"/>
    <w:rsid w:val="0013317B"/>
    <w:rsid w:val="0013375F"/>
    <w:rsid w:val="0013527B"/>
    <w:rsid w:val="001352B4"/>
    <w:rsid w:val="00135AB5"/>
    <w:rsid w:val="00142538"/>
    <w:rsid w:val="00143557"/>
    <w:rsid w:val="00143934"/>
    <w:rsid w:val="00144E0E"/>
    <w:rsid w:val="001456BD"/>
    <w:rsid w:val="0015208C"/>
    <w:rsid w:val="00153160"/>
    <w:rsid w:val="00153656"/>
    <w:rsid w:val="001538B1"/>
    <w:rsid w:val="00154888"/>
    <w:rsid w:val="001551E4"/>
    <w:rsid w:val="00155A74"/>
    <w:rsid w:val="0015667F"/>
    <w:rsid w:val="00162177"/>
    <w:rsid w:val="001627E8"/>
    <w:rsid w:val="00164AF6"/>
    <w:rsid w:val="00167EB0"/>
    <w:rsid w:val="001709E6"/>
    <w:rsid w:val="00170E23"/>
    <w:rsid w:val="0017129B"/>
    <w:rsid w:val="00171354"/>
    <w:rsid w:val="001751EE"/>
    <w:rsid w:val="00175296"/>
    <w:rsid w:val="001752B7"/>
    <w:rsid w:val="00175A89"/>
    <w:rsid w:val="00176612"/>
    <w:rsid w:val="0017792D"/>
    <w:rsid w:val="00177B05"/>
    <w:rsid w:val="0018149C"/>
    <w:rsid w:val="00181913"/>
    <w:rsid w:val="00181935"/>
    <w:rsid w:val="00182B61"/>
    <w:rsid w:val="00182F88"/>
    <w:rsid w:val="00183314"/>
    <w:rsid w:val="0018358E"/>
    <w:rsid w:val="00183A77"/>
    <w:rsid w:val="0018493B"/>
    <w:rsid w:val="00185327"/>
    <w:rsid w:val="00187452"/>
    <w:rsid w:val="00187D4B"/>
    <w:rsid w:val="00194670"/>
    <w:rsid w:val="0019490E"/>
    <w:rsid w:val="001951D3"/>
    <w:rsid w:val="00195B3A"/>
    <w:rsid w:val="001962D9"/>
    <w:rsid w:val="00197438"/>
    <w:rsid w:val="001977DE"/>
    <w:rsid w:val="001A00FD"/>
    <w:rsid w:val="001A0DB6"/>
    <w:rsid w:val="001A12B3"/>
    <w:rsid w:val="001A1A82"/>
    <w:rsid w:val="001A2AD6"/>
    <w:rsid w:val="001A34EA"/>
    <w:rsid w:val="001A5185"/>
    <w:rsid w:val="001A5CEF"/>
    <w:rsid w:val="001B0401"/>
    <w:rsid w:val="001B0B94"/>
    <w:rsid w:val="001B2D35"/>
    <w:rsid w:val="001B3B03"/>
    <w:rsid w:val="001B3B1A"/>
    <w:rsid w:val="001B515A"/>
    <w:rsid w:val="001B6157"/>
    <w:rsid w:val="001B6493"/>
    <w:rsid w:val="001B6AAF"/>
    <w:rsid w:val="001B7A6F"/>
    <w:rsid w:val="001B7DCE"/>
    <w:rsid w:val="001C150A"/>
    <w:rsid w:val="001C29CE"/>
    <w:rsid w:val="001C4261"/>
    <w:rsid w:val="001C5126"/>
    <w:rsid w:val="001C51BC"/>
    <w:rsid w:val="001C6C65"/>
    <w:rsid w:val="001C71C1"/>
    <w:rsid w:val="001C72BD"/>
    <w:rsid w:val="001C7F7A"/>
    <w:rsid w:val="001D00FD"/>
    <w:rsid w:val="001D2B3B"/>
    <w:rsid w:val="001D2CBE"/>
    <w:rsid w:val="001D33F8"/>
    <w:rsid w:val="001D44A8"/>
    <w:rsid w:val="001D63D4"/>
    <w:rsid w:val="001D69D1"/>
    <w:rsid w:val="001D6CC7"/>
    <w:rsid w:val="001D716F"/>
    <w:rsid w:val="001D7568"/>
    <w:rsid w:val="001E080D"/>
    <w:rsid w:val="001E0AE4"/>
    <w:rsid w:val="001E1F19"/>
    <w:rsid w:val="001E23E2"/>
    <w:rsid w:val="001E393D"/>
    <w:rsid w:val="001E3FA4"/>
    <w:rsid w:val="001E432D"/>
    <w:rsid w:val="001E66EE"/>
    <w:rsid w:val="001E67FC"/>
    <w:rsid w:val="001E729D"/>
    <w:rsid w:val="001F3523"/>
    <w:rsid w:val="001F3A36"/>
    <w:rsid w:val="001F3C86"/>
    <w:rsid w:val="001F4DE2"/>
    <w:rsid w:val="001F4F9D"/>
    <w:rsid w:val="001F5372"/>
    <w:rsid w:val="002001DB"/>
    <w:rsid w:val="002030F7"/>
    <w:rsid w:val="00203BE4"/>
    <w:rsid w:val="00203E2B"/>
    <w:rsid w:val="00204689"/>
    <w:rsid w:val="00207854"/>
    <w:rsid w:val="00207EC6"/>
    <w:rsid w:val="00210693"/>
    <w:rsid w:val="002116BA"/>
    <w:rsid w:val="0021395A"/>
    <w:rsid w:val="00213E66"/>
    <w:rsid w:val="00214BBF"/>
    <w:rsid w:val="00215C7D"/>
    <w:rsid w:val="002160BF"/>
    <w:rsid w:val="00216E5E"/>
    <w:rsid w:val="0021742D"/>
    <w:rsid w:val="00220E0C"/>
    <w:rsid w:val="0022110C"/>
    <w:rsid w:val="002212C9"/>
    <w:rsid w:val="002220B3"/>
    <w:rsid w:val="0022399C"/>
    <w:rsid w:val="002246A7"/>
    <w:rsid w:val="00224F7A"/>
    <w:rsid w:val="0022553D"/>
    <w:rsid w:val="00225F01"/>
    <w:rsid w:val="00226E8B"/>
    <w:rsid w:val="0023017E"/>
    <w:rsid w:val="00232013"/>
    <w:rsid w:val="0023356A"/>
    <w:rsid w:val="002379FA"/>
    <w:rsid w:val="00241DF7"/>
    <w:rsid w:val="002424EE"/>
    <w:rsid w:val="002429A0"/>
    <w:rsid w:val="00243DE3"/>
    <w:rsid w:val="00244E6D"/>
    <w:rsid w:val="00245FA8"/>
    <w:rsid w:val="00247F6E"/>
    <w:rsid w:val="00252179"/>
    <w:rsid w:val="002549D2"/>
    <w:rsid w:val="00254DEE"/>
    <w:rsid w:val="00255AA2"/>
    <w:rsid w:val="0025799B"/>
    <w:rsid w:val="00257E57"/>
    <w:rsid w:val="00260DE5"/>
    <w:rsid w:val="00262FD2"/>
    <w:rsid w:val="002633F0"/>
    <w:rsid w:val="00266C17"/>
    <w:rsid w:val="002715F0"/>
    <w:rsid w:val="00271B43"/>
    <w:rsid w:val="00271BD9"/>
    <w:rsid w:val="00271E5A"/>
    <w:rsid w:val="00274A79"/>
    <w:rsid w:val="00274DDC"/>
    <w:rsid w:val="00275192"/>
    <w:rsid w:val="00275E75"/>
    <w:rsid w:val="0028069A"/>
    <w:rsid w:val="00282E33"/>
    <w:rsid w:val="00285D3F"/>
    <w:rsid w:val="0028617B"/>
    <w:rsid w:val="00287F23"/>
    <w:rsid w:val="0029017B"/>
    <w:rsid w:val="00290321"/>
    <w:rsid w:val="00290B10"/>
    <w:rsid w:val="00291285"/>
    <w:rsid w:val="00292905"/>
    <w:rsid w:val="002940E7"/>
    <w:rsid w:val="002941A4"/>
    <w:rsid w:val="0029426F"/>
    <w:rsid w:val="00296841"/>
    <w:rsid w:val="00296A21"/>
    <w:rsid w:val="00296E86"/>
    <w:rsid w:val="002973DE"/>
    <w:rsid w:val="00297A7E"/>
    <w:rsid w:val="00297D33"/>
    <w:rsid w:val="002A1409"/>
    <w:rsid w:val="002A217B"/>
    <w:rsid w:val="002A340D"/>
    <w:rsid w:val="002A4277"/>
    <w:rsid w:val="002A46FD"/>
    <w:rsid w:val="002A4D04"/>
    <w:rsid w:val="002A71CC"/>
    <w:rsid w:val="002A7FAC"/>
    <w:rsid w:val="002B3BBA"/>
    <w:rsid w:val="002B3C1B"/>
    <w:rsid w:val="002B432F"/>
    <w:rsid w:val="002B6590"/>
    <w:rsid w:val="002B7409"/>
    <w:rsid w:val="002B7DE4"/>
    <w:rsid w:val="002C09C0"/>
    <w:rsid w:val="002C100A"/>
    <w:rsid w:val="002C2B9B"/>
    <w:rsid w:val="002C350C"/>
    <w:rsid w:val="002C4DAF"/>
    <w:rsid w:val="002C5915"/>
    <w:rsid w:val="002C5950"/>
    <w:rsid w:val="002C6235"/>
    <w:rsid w:val="002C6834"/>
    <w:rsid w:val="002C6ADA"/>
    <w:rsid w:val="002C7396"/>
    <w:rsid w:val="002D0BCA"/>
    <w:rsid w:val="002D1370"/>
    <w:rsid w:val="002D1965"/>
    <w:rsid w:val="002D1C14"/>
    <w:rsid w:val="002D20FB"/>
    <w:rsid w:val="002D6B0A"/>
    <w:rsid w:val="002D786F"/>
    <w:rsid w:val="002D7EB6"/>
    <w:rsid w:val="002E0081"/>
    <w:rsid w:val="002E0375"/>
    <w:rsid w:val="002E04D6"/>
    <w:rsid w:val="002E0DFF"/>
    <w:rsid w:val="002E0EB3"/>
    <w:rsid w:val="002E1CCB"/>
    <w:rsid w:val="002E5949"/>
    <w:rsid w:val="002E5CAF"/>
    <w:rsid w:val="002E6E75"/>
    <w:rsid w:val="002E7D6E"/>
    <w:rsid w:val="002F01C3"/>
    <w:rsid w:val="002F1054"/>
    <w:rsid w:val="002F2178"/>
    <w:rsid w:val="002F245C"/>
    <w:rsid w:val="002F4535"/>
    <w:rsid w:val="002F5747"/>
    <w:rsid w:val="002F620A"/>
    <w:rsid w:val="002F69BE"/>
    <w:rsid w:val="002F706D"/>
    <w:rsid w:val="002F77B3"/>
    <w:rsid w:val="00301B89"/>
    <w:rsid w:val="0030227A"/>
    <w:rsid w:val="00302824"/>
    <w:rsid w:val="00302A9A"/>
    <w:rsid w:val="0030689B"/>
    <w:rsid w:val="003105BE"/>
    <w:rsid w:val="0031144C"/>
    <w:rsid w:val="003127F8"/>
    <w:rsid w:val="003139C7"/>
    <w:rsid w:val="00315252"/>
    <w:rsid w:val="00315998"/>
    <w:rsid w:val="00315D92"/>
    <w:rsid w:val="00316D1D"/>
    <w:rsid w:val="003204CC"/>
    <w:rsid w:val="003206E4"/>
    <w:rsid w:val="00321683"/>
    <w:rsid w:val="00321C2A"/>
    <w:rsid w:val="00321C39"/>
    <w:rsid w:val="00325F43"/>
    <w:rsid w:val="0032657C"/>
    <w:rsid w:val="003303C1"/>
    <w:rsid w:val="0033129B"/>
    <w:rsid w:val="003340BE"/>
    <w:rsid w:val="003356F9"/>
    <w:rsid w:val="00336B59"/>
    <w:rsid w:val="003372DE"/>
    <w:rsid w:val="00341DE8"/>
    <w:rsid w:val="00342731"/>
    <w:rsid w:val="00342AF4"/>
    <w:rsid w:val="00342D63"/>
    <w:rsid w:val="0034494A"/>
    <w:rsid w:val="00344D11"/>
    <w:rsid w:val="003450DC"/>
    <w:rsid w:val="0034690B"/>
    <w:rsid w:val="00346EBA"/>
    <w:rsid w:val="003510F2"/>
    <w:rsid w:val="00351353"/>
    <w:rsid w:val="00351736"/>
    <w:rsid w:val="003519B8"/>
    <w:rsid w:val="003538B2"/>
    <w:rsid w:val="003554F4"/>
    <w:rsid w:val="00355556"/>
    <w:rsid w:val="00357D23"/>
    <w:rsid w:val="00357F51"/>
    <w:rsid w:val="00360907"/>
    <w:rsid w:val="00362979"/>
    <w:rsid w:val="003638D2"/>
    <w:rsid w:val="0036448B"/>
    <w:rsid w:val="00366720"/>
    <w:rsid w:val="00373150"/>
    <w:rsid w:val="00373157"/>
    <w:rsid w:val="00376051"/>
    <w:rsid w:val="00376248"/>
    <w:rsid w:val="0037625D"/>
    <w:rsid w:val="00377F03"/>
    <w:rsid w:val="0038194B"/>
    <w:rsid w:val="00381BDF"/>
    <w:rsid w:val="00381C1D"/>
    <w:rsid w:val="003821E3"/>
    <w:rsid w:val="00382283"/>
    <w:rsid w:val="00384C0B"/>
    <w:rsid w:val="00385764"/>
    <w:rsid w:val="00386734"/>
    <w:rsid w:val="00386DAC"/>
    <w:rsid w:val="003873D9"/>
    <w:rsid w:val="00387BD3"/>
    <w:rsid w:val="00390758"/>
    <w:rsid w:val="00391D63"/>
    <w:rsid w:val="00395003"/>
    <w:rsid w:val="00395555"/>
    <w:rsid w:val="00396663"/>
    <w:rsid w:val="00396F39"/>
    <w:rsid w:val="00397209"/>
    <w:rsid w:val="00397358"/>
    <w:rsid w:val="003A0065"/>
    <w:rsid w:val="003A0A03"/>
    <w:rsid w:val="003A3BED"/>
    <w:rsid w:val="003A3EA6"/>
    <w:rsid w:val="003A47B7"/>
    <w:rsid w:val="003A6413"/>
    <w:rsid w:val="003A7BF1"/>
    <w:rsid w:val="003B0166"/>
    <w:rsid w:val="003B0C7F"/>
    <w:rsid w:val="003B15B9"/>
    <w:rsid w:val="003B20BA"/>
    <w:rsid w:val="003B2157"/>
    <w:rsid w:val="003C3443"/>
    <w:rsid w:val="003C6673"/>
    <w:rsid w:val="003C707C"/>
    <w:rsid w:val="003C7620"/>
    <w:rsid w:val="003D092F"/>
    <w:rsid w:val="003D0EF7"/>
    <w:rsid w:val="003D11BD"/>
    <w:rsid w:val="003D45FE"/>
    <w:rsid w:val="003D6D65"/>
    <w:rsid w:val="003D7785"/>
    <w:rsid w:val="003E248F"/>
    <w:rsid w:val="003E626D"/>
    <w:rsid w:val="003E627B"/>
    <w:rsid w:val="003E7C87"/>
    <w:rsid w:val="003F0792"/>
    <w:rsid w:val="003F27F2"/>
    <w:rsid w:val="003F2CBD"/>
    <w:rsid w:val="003F36AD"/>
    <w:rsid w:val="003F571B"/>
    <w:rsid w:val="003F6246"/>
    <w:rsid w:val="003F785B"/>
    <w:rsid w:val="003F7D0B"/>
    <w:rsid w:val="003F7EE8"/>
    <w:rsid w:val="00400309"/>
    <w:rsid w:val="004006E4"/>
    <w:rsid w:val="00400E35"/>
    <w:rsid w:val="004010FC"/>
    <w:rsid w:val="004013F4"/>
    <w:rsid w:val="00402932"/>
    <w:rsid w:val="00404C29"/>
    <w:rsid w:val="00406717"/>
    <w:rsid w:val="00406DC1"/>
    <w:rsid w:val="00407340"/>
    <w:rsid w:val="00411C62"/>
    <w:rsid w:val="00412562"/>
    <w:rsid w:val="00413465"/>
    <w:rsid w:val="00413C82"/>
    <w:rsid w:val="00414C99"/>
    <w:rsid w:val="00414F69"/>
    <w:rsid w:val="0041561A"/>
    <w:rsid w:val="00415DD6"/>
    <w:rsid w:val="00415ED4"/>
    <w:rsid w:val="00417305"/>
    <w:rsid w:val="00420403"/>
    <w:rsid w:val="00420955"/>
    <w:rsid w:val="00420A7F"/>
    <w:rsid w:val="00422743"/>
    <w:rsid w:val="00422A89"/>
    <w:rsid w:val="0042375A"/>
    <w:rsid w:val="004249A5"/>
    <w:rsid w:val="00426157"/>
    <w:rsid w:val="00426E26"/>
    <w:rsid w:val="00427455"/>
    <w:rsid w:val="00427BB5"/>
    <w:rsid w:val="00430084"/>
    <w:rsid w:val="00431DE6"/>
    <w:rsid w:val="004336AC"/>
    <w:rsid w:val="0043388F"/>
    <w:rsid w:val="004346B4"/>
    <w:rsid w:val="00434AD2"/>
    <w:rsid w:val="00434B56"/>
    <w:rsid w:val="00435218"/>
    <w:rsid w:val="00435CD5"/>
    <w:rsid w:val="00435E48"/>
    <w:rsid w:val="0043704F"/>
    <w:rsid w:val="0043723A"/>
    <w:rsid w:val="00437D39"/>
    <w:rsid w:val="004400A2"/>
    <w:rsid w:val="004423CC"/>
    <w:rsid w:val="00442633"/>
    <w:rsid w:val="00443DE2"/>
    <w:rsid w:val="004465A1"/>
    <w:rsid w:val="00450446"/>
    <w:rsid w:val="00450595"/>
    <w:rsid w:val="00450AF2"/>
    <w:rsid w:val="0045131A"/>
    <w:rsid w:val="004513AE"/>
    <w:rsid w:val="00453E35"/>
    <w:rsid w:val="004542F5"/>
    <w:rsid w:val="0045716C"/>
    <w:rsid w:val="00457301"/>
    <w:rsid w:val="004618FA"/>
    <w:rsid w:val="00461DBC"/>
    <w:rsid w:val="00461F8D"/>
    <w:rsid w:val="00462B71"/>
    <w:rsid w:val="00462D95"/>
    <w:rsid w:val="004634B1"/>
    <w:rsid w:val="004657E0"/>
    <w:rsid w:val="00465CFA"/>
    <w:rsid w:val="00465D0E"/>
    <w:rsid w:val="00466B06"/>
    <w:rsid w:val="004679F1"/>
    <w:rsid w:val="00467E2D"/>
    <w:rsid w:val="004709AF"/>
    <w:rsid w:val="00474244"/>
    <w:rsid w:val="004745A3"/>
    <w:rsid w:val="00475188"/>
    <w:rsid w:val="004756F3"/>
    <w:rsid w:val="004769CE"/>
    <w:rsid w:val="00476FBA"/>
    <w:rsid w:val="00477CB6"/>
    <w:rsid w:val="00480923"/>
    <w:rsid w:val="00482A30"/>
    <w:rsid w:val="00482A93"/>
    <w:rsid w:val="00482E81"/>
    <w:rsid w:val="0048358C"/>
    <w:rsid w:val="00483880"/>
    <w:rsid w:val="00485967"/>
    <w:rsid w:val="004859A3"/>
    <w:rsid w:val="00485E0A"/>
    <w:rsid w:val="00490557"/>
    <w:rsid w:val="00490D1C"/>
    <w:rsid w:val="00492D77"/>
    <w:rsid w:val="00493D03"/>
    <w:rsid w:val="00495E7E"/>
    <w:rsid w:val="0049698D"/>
    <w:rsid w:val="00496C08"/>
    <w:rsid w:val="00497F42"/>
    <w:rsid w:val="004A1159"/>
    <w:rsid w:val="004A27F2"/>
    <w:rsid w:val="004A2F0A"/>
    <w:rsid w:val="004A3436"/>
    <w:rsid w:val="004A4523"/>
    <w:rsid w:val="004A4564"/>
    <w:rsid w:val="004A4CBD"/>
    <w:rsid w:val="004A4FC5"/>
    <w:rsid w:val="004A6476"/>
    <w:rsid w:val="004A6EEC"/>
    <w:rsid w:val="004A72DD"/>
    <w:rsid w:val="004A78E3"/>
    <w:rsid w:val="004B1159"/>
    <w:rsid w:val="004B27FB"/>
    <w:rsid w:val="004B2CBC"/>
    <w:rsid w:val="004B3D14"/>
    <w:rsid w:val="004B3E63"/>
    <w:rsid w:val="004B5965"/>
    <w:rsid w:val="004C0BC5"/>
    <w:rsid w:val="004C3BD2"/>
    <w:rsid w:val="004C4606"/>
    <w:rsid w:val="004C46B2"/>
    <w:rsid w:val="004C5897"/>
    <w:rsid w:val="004C5F62"/>
    <w:rsid w:val="004C6127"/>
    <w:rsid w:val="004D0481"/>
    <w:rsid w:val="004D308F"/>
    <w:rsid w:val="004D3111"/>
    <w:rsid w:val="004E0031"/>
    <w:rsid w:val="004E06B6"/>
    <w:rsid w:val="004E2624"/>
    <w:rsid w:val="004E2643"/>
    <w:rsid w:val="004E45D3"/>
    <w:rsid w:val="004E462F"/>
    <w:rsid w:val="004E4F47"/>
    <w:rsid w:val="004E5210"/>
    <w:rsid w:val="004E6EDC"/>
    <w:rsid w:val="004E70D7"/>
    <w:rsid w:val="004F1E85"/>
    <w:rsid w:val="004F308F"/>
    <w:rsid w:val="004F4410"/>
    <w:rsid w:val="004F4CE6"/>
    <w:rsid w:val="004F6D85"/>
    <w:rsid w:val="004F6DDA"/>
    <w:rsid w:val="004F7262"/>
    <w:rsid w:val="004F7921"/>
    <w:rsid w:val="00500086"/>
    <w:rsid w:val="00500814"/>
    <w:rsid w:val="005010E1"/>
    <w:rsid w:val="005019D6"/>
    <w:rsid w:val="0050243E"/>
    <w:rsid w:val="00503475"/>
    <w:rsid w:val="005046C4"/>
    <w:rsid w:val="00505317"/>
    <w:rsid w:val="005065FD"/>
    <w:rsid w:val="00506D7E"/>
    <w:rsid w:val="00510910"/>
    <w:rsid w:val="00511AEB"/>
    <w:rsid w:val="00512314"/>
    <w:rsid w:val="00512EB2"/>
    <w:rsid w:val="005132F3"/>
    <w:rsid w:val="00513B3D"/>
    <w:rsid w:val="00514869"/>
    <w:rsid w:val="00514887"/>
    <w:rsid w:val="00514928"/>
    <w:rsid w:val="00514EC8"/>
    <w:rsid w:val="005152E4"/>
    <w:rsid w:val="00515789"/>
    <w:rsid w:val="00515FCD"/>
    <w:rsid w:val="0052401C"/>
    <w:rsid w:val="005243B7"/>
    <w:rsid w:val="00524DF5"/>
    <w:rsid w:val="0052603E"/>
    <w:rsid w:val="005264D6"/>
    <w:rsid w:val="0052699B"/>
    <w:rsid w:val="00526E39"/>
    <w:rsid w:val="00531F08"/>
    <w:rsid w:val="00534286"/>
    <w:rsid w:val="00535332"/>
    <w:rsid w:val="00536144"/>
    <w:rsid w:val="005366FE"/>
    <w:rsid w:val="005367BC"/>
    <w:rsid w:val="005411BF"/>
    <w:rsid w:val="00542787"/>
    <w:rsid w:val="0054295B"/>
    <w:rsid w:val="0054481D"/>
    <w:rsid w:val="0055043D"/>
    <w:rsid w:val="005514C1"/>
    <w:rsid w:val="00551DCE"/>
    <w:rsid w:val="00560C30"/>
    <w:rsid w:val="00562A0D"/>
    <w:rsid w:val="00562A0F"/>
    <w:rsid w:val="00565009"/>
    <w:rsid w:val="0056645B"/>
    <w:rsid w:val="005728C0"/>
    <w:rsid w:val="00572D26"/>
    <w:rsid w:val="005736C6"/>
    <w:rsid w:val="00573A4B"/>
    <w:rsid w:val="005746D6"/>
    <w:rsid w:val="00575A0B"/>
    <w:rsid w:val="00580032"/>
    <w:rsid w:val="0058023A"/>
    <w:rsid w:val="00580324"/>
    <w:rsid w:val="00580B9D"/>
    <w:rsid w:val="00584434"/>
    <w:rsid w:val="00584CF5"/>
    <w:rsid w:val="00585542"/>
    <w:rsid w:val="00590113"/>
    <w:rsid w:val="005905D4"/>
    <w:rsid w:val="00591806"/>
    <w:rsid w:val="005922AD"/>
    <w:rsid w:val="00594C23"/>
    <w:rsid w:val="0059525C"/>
    <w:rsid w:val="00595357"/>
    <w:rsid w:val="00595478"/>
    <w:rsid w:val="00595DB1"/>
    <w:rsid w:val="00596206"/>
    <w:rsid w:val="005963CA"/>
    <w:rsid w:val="00597373"/>
    <w:rsid w:val="00597B11"/>
    <w:rsid w:val="00597CF2"/>
    <w:rsid w:val="005A0FA7"/>
    <w:rsid w:val="005A3534"/>
    <w:rsid w:val="005A35C7"/>
    <w:rsid w:val="005A3F87"/>
    <w:rsid w:val="005A49AE"/>
    <w:rsid w:val="005A5D86"/>
    <w:rsid w:val="005A6857"/>
    <w:rsid w:val="005A6A90"/>
    <w:rsid w:val="005B13BE"/>
    <w:rsid w:val="005B3C30"/>
    <w:rsid w:val="005B3D03"/>
    <w:rsid w:val="005B3FEB"/>
    <w:rsid w:val="005B4B00"/>
    <w:rsid w:val="005B5E95"/>
    <w:rsid w:val="005B70F9"/>
    <w:rsid w:val="005C060F"/>
    <w:rsid w:val="005C12F3"/>
    <w:rsid w:val="005C1720"/>
    <w:rsid w:val="005C3654"/>
    <w:rsid w:val="005C4561"/>
    <w:rsid w:val="005C5144"/>
    <w:rsid w:val="005C5623"/>
    <w:rsid w:val="005C61CA"/>
    <w:rsid w:val="005C668D"/>
    <w:rsid w:val="005D0369"/>
    <w:rsid w:val="005D0D21"/>
    <w:rsid w:val="005D148D"/>
    <w:rsid w:val="005D1559"/>
    <w:rsid w:val="005D18D2"/>
    <w:rsid w:val="005D1D44"/>
    <w:rsid w:val="005D3C94"/>
    <w:rsid w:val="005D3CCE"/>
    <w:rsid w:val="005E05A1"/>
    <w:rsid w:val="005E09F6"/>
    <w:rsid w:val="005E116D"/>
    <w:rsid w:val="005E1ABE"/>
    <w:rsid w:val="005E2122"/>
    <w:rsid w:val="005E403E"/>
    <w:rsid w:val="005E40AF"/>
    <w:rsid w:val="005E51CF"/>
    <w:rsid w:val="005E5E52"/>
    <w:rsid w:val="005E6493"/>
    <w:rsid w:val="005F0207"/>
    <w:rsid w:val="005F0F9C"/>
    <w:rsid w:val="005F28A8"/>
    <w:rsid w:val="005F77E8"/>
    <w:rsid w:val="005F7EDB"/>
    <w:rsid w:val="005F7EE6"/>
    <w:rsid w:val="00600A23"/>
    <w:rsid w:val="00600E73"/>
    <w:rsid w:val="00601359"/>
    <w:rsid w:val="006021F1"/>
    <w:rsid w:val="0060417D"/>
    <w:rsid w:val="00605128"/>
    <w:rsid w:val="00605624"/>
    <w:rsid w:val="006116F8"/>
    <w:rsid w:val="00611770"/>
    <w:rsid w:val="006119CC"/>
    <w:rsid w:val="00611BD6"/>
    <w:rsid w:val="006148FC"/>
    <w:rsid w:val="006154DE"/>
    <w:rsid w:val="00615D07"/>
    <w:rsid w:val="00617446"/>
    <w:rsid w:val="00617BD8"/>
    <w:rsid w:val="00620C4F"/>
    <w:rsid w:val="0062184D"/>
    <w:rsid w:val="00621F6D"/>
    <w:rsid w:val="00626105"/>
    <w:rsid w:val="00627EB4"/>
    <w:rsid w:val="006304F8"/>
    <w:rsid w:val="006312AA"/>
    <w:rsid w:val="006358F9"/>
    <w:rsid w:val="00636DC2"/>
    <w:rsid w:val="00636DF5"/>
    <w:rsid w:val="00641053"/>
    <w:rsid w:val="00641315"/>
    <w:rsid w:val="006414C8"/>
    <w:rsid w:val="00641DF7"/>
    <w:rsid w:val="00641E5C"/>
    <w:rsid w:val="00642DBD"/>
    <w:rsid w:val="00644AA0"/>
    <w:rsid w:val="006457B8"/>
    <w:rsid w:val="00645B1D"/>
    <w:rsid w:val="00646398"/>
    <w:rsid w:val="00647C85"/>
    <w:rsid w:val="00651CE3"/>
    <w:rsid w:val="0065218F"/>
    <w:rsid w:val="00652D72"/>
    <w:rsid w:val="00653FB7"/>
    <w:rsid w:val="006562DA"/>
    <w:rsid w:val="00656437"/>
    <w:rsid w:val="00657788"/>
    <w:rsid w:val="00662C7B"/>
    <w:rsid w:val="00663E45"/>
    <w:rsid w:val="00665424"/>
    <w:rsid w:val="0066552C"/>
    <w:rsid w:val="006669E9"/>
    <w:rsid w:val="006671C1"/>
    <w:rsid w:val="006733ED"/>
    <w:rsid w:val="00675891"/>
    <w:rsid w:val="00676A4B"/>
    <w:rsid w:val="00676F45"/>
    <w:rsid w:val="00677396"/>
    <w:rsid w:val="006778A0"/>
    <w:rsid w:val="00680842"/>
    <w:rsid w:val="0068086E"/>
    <w:rsid w:val="00680E9D"/>
    <w:rsid w:val="00681B1B"/>
    <w:rsid w:val="0068217B"/>
    <w:rsid w:val="006837CF"/>
    <w:rsid w:val="00683BC3"/>
    <w:rsid w:val="006854F4"/>
    <w:rsid w:val="00685587"/>
    <w:rsid w:val="006857BE"/>
    <w:rsid w:val="00685AF3"/>
    <w:rsid w:val="00685DD7"/>
    <w:rsid w:val="006864FA"/>
    <w:rsid w:val="006870C1"/>
    <w:rsid w:val="00691D9E"/>
    <w:rsid w:val="00692A9F"/>
    <w:rsid w:val="00696D91"/>
    <w:rsid w:val="00697833"/>
    <w:rsid w:val="006A25E5"/>
    <w:rsid w:val="006A6C70"/>
    <w:rsid w:val="006A7A77"/>
    <w:rsid w:val="006B10B4"/>
    <w:rsid w:val="006B2241"/>
    <w:rsid w:val="006B49BE"/>
    <w:rsid w:val="006B5320"/>
    <w:rsid w:val="006C135A"/>
    <w:rsid w:val="006C1B16"/>
    <w:rsid w:val="006C2B7D"/>
    <w:rsid w:val="006C2C39"/>
    <w:rsid w:val="006C2C89"/>
    <w:rsid w:val="006C313C"/>
    <w:rsid w:val="006C32DC"/>
    <w:rsid w:val="006C3B1B"/>
    <w:rsid w:val="006C43B8"/>
    <w:rsid w:val="006C6A31"/>
    <w:rsid w:val="006C6BC9"/>
    <w:rsid w:val="006C6BFD"/>
    <w:rsid w:val="006C717F"/>
    <w:rsid w:val="006C7823"/>
    <w:rsid w:val="006D0562"/>
    <w:rsid w:val="006D06D5"/>
    <w:rsid w:val="006D1EC1"/>
    <w:rsid w:val="006D316D"/>
    <w:rsid w:val="006D3E19"/>
    <w:rsid w:val="006D3E6B"/>
    <w:rsid w:val="006D71A2"/>
    <w:rsid w:val="006D7920"/>
    <w:rsid w:val="006D7EC0"/>
    <w:rsid w:val="006E183B"/>
    <w:rsid w:val="006E19B0"/>
    <w:rsid w:val="006E2EB7"/>
    <w:rsid w:val="006E30CC"/>
    <w:rsid w:val="006E363A"/>
    <w:rsid w:val="006E3BB3"/>
    <w:rsid w:val="006E3F03"/>
    <w:rsid w:val="006E435A"/>
    <w:rsid w:val="006E440E"/>
    <w:rsid w:val="006E44F7"/>
    <w:rsid w:val="006E4581"/>
    <w:rsid w:val="006E4A8A"/>
    <w:rsid w:val="006E6F28"/>
    <w:rsid w:val="006E7113"/>
    <w:rsid w:val="006E7809"/>
    <w:rsid w:val="006E7C15"/>
    <w:rsid w:val="006E7EA8"/>
    <w:rsid w:val="006F1769"/>
    <w:rsid w:val="006F2984"/>
    <w:rsid w:val="006F344A"/>
    <w:rsid w:val="006F3730"/>
    <w:rsid w:val="006F4A97"/>
    <w:rsid w:val="006F6F4B"/>
    <w:rsid w:val="00701528"/>
    <w:rsid w:val="00702B1D"/>
    <w:rsid w:val="00705708"/>
    <w:rsid w:val="007061E6"/>
    <w:rsid w:val="007072BD"/>
    <w:rsid w:val="007077C7"/>
    <w:rsid w:val="007101B0"/>
    <w:rsid w:val="0071040A"/>
    <w:rsid w:val="00710A7C"/>
    <w:rsid w:val="00711410"/>
    <w:rsid w:val="00711682"/>
    <w:rsid w:val="00711803"/>
    <w:rsid w:val="00711B7C"/>
    <w:rsid w:val="007120DE"/>
    <w:rsid w:val="007130EF"/>
    <w:rsid w:val="007150D1"/>
    <w:rsid w:val="00715902"/>
    <w:rsid w:val="00717287"/>
    <w:rsid w:val="00717779"/>
    <w:rsid w:val="00717D1C"/>
    <w:rsid w:val="00720316"/>
    <w:rsid w:val="00721CBB"/>
    <w:rsid w:val="007225C7"/>
    <w:rsid w:val="007232A8"/>
    <w:rsid w:val="00725BBD"/>
    <w:rsid w:val="00726794"/>
    <w:rsid w:val="007305F9"/>
    <w:rsid w:val="0073231D"/>
    <w:rsid w:val="00732B36"/>
    <w:rsid w:val="00732BBA"/>
    <w:rsid w:val="00734EFF"/>
    <w:rsid w:val="00735439"/>
    <w:rsid w:val="00735904"/>
    <w:rsid w:val="0073645D"/>
    <w:rsid w:val="0073691D"/>
    <w:rsid w:val="0074039C"/>
    <w:rsid w:val="007450BC"/>
    <w:rsid w:val="007453B6"/>
    <w:rsid w:val="0074547A"/>
    <w:rsid w:val="00745486"/>
    <w:rsid w:val="00751140"/>
    <w:rsid w:val="00752A10"/>
    <w:rsid w:val="00752C00"/>
    <w:rsid w:val="00754C2E"/>
    <w:rsid w:val="00755836"/>
    <w:rsid w:val="0075598F"/>
    <w:rsid w:val="00755AAB"/>
    <w:rsid w:val="0076392A"/>
    <w:rsid w:val="00764BF6"/>
    <w:rsid w:val="007656B3"/>
    <w:rsid w:val="00765C05"/>
    <w:rsid w:val="00770410"/>
    <w:rsid w:val="007708B8"/>
    <w:rsid w:val="00771256"/>
    <w:rsid w:val="007717F6"/>
    <w:rsid w:val="00773A02"/>
    <w:rsid w:val="00773A08"/>
    <w:rsid w:val="00774358"/>
    <w:rsid w:val="007743AC"/>
    <w:rsid w:val="0077573B"/>
    <w:rsid w:val="00775DF2"/>
    <w:rsid w:val="00777352"/>
    <w:rsid w:val="00777EF5"/>
    <w:rsid w:val="00781F49"/>
    <w:rsid w:val="0078225C"/>
    <w:rsid w:val="00782ABF"/>
    <w:rsid w:val="00783739"/>
    <w:rsid w:val="007855EF"/>
    <w:rsid w:val="00785A5A"/>
    <w:rsid w:val="00786E0F"/>
    <w:rsid w:val="007905F4"/>
    <w:rsid w:val="00793FEF"/>
    <w:rsid w:val="00795BD5"/>
    <w:rsid w:val="00796CD9"/>
    <w:rsid w:val="00797EEA"/>
    <w:rsid w:val="007A11A7"/>
    <w:rsid w:val="007A1DB9"/>
    <w:rsid w:val="007A21F2"/>
    <w:rsid w:val="007A26F2"/>
    <w:rsid w:val="007A52C2"/>
    <w:rsid w:val="007A71B9"/>
    <w:rsid w:val="007B1326"/>
    <w:rsid w:val="007B166F"/>
    <w:rsid w:val="007B1E7E"/>
    <w:rsid w:val="007B2CB5"/>
    <w:rsid w:val="007B438B"/>
    <w:rsid w:val="007B503B"/>
    <w:rsid w:val="007B5464"/>
    <w:rsid w:val="007B5510"/>
    <w:rsid w:val="007B6EAB"/>
    <w:rsid w:val="007B7D49"/>
    <w:rsid w:val="007C14A8"/>
    <w:rsid w:val="007C27EE"/>
    <w:rsid w:val="007C3FFE"/>
    <w:rsid w:val="007C47BE"/>
    <w:rsid w:val="007C50EE"/>
    <w:rsid w:val="007C538C"/>
    <w:rsid w:val="007C54BB"/>
    <w:rsid w:val="007C54C4"/>
    <w:rsid w:val="007C5CBF"/>
    <w:rsid w:val="007C68F3"/>
    <w:rsid w:val="007C728D"/>
    <w:rsid w:val="007C7C7E"/>
    <w:rsid w:val="007C7F66"/>
    <w:rsid w:val="007D2B69"/>
    <w:rsid w:val="007D3DAC"/>
    <w:rsid w:val="007D428B"/>
    <w:rsid w:val="007D4E5F"/>
    <w:rsid w:val="007D65C2"/>
    <w:rsid w:val="007D6A37"/>
    <w:rsid w:val="007D7133"/>
    <w:rsid w:val="007D79BC"/>
    <w:rsid w:val="007E00C5"/>
    <w:rsid w:val="007E0677"/>
    <w:rsid w:val="007E21ED"/>
    <w:rsid w:val="007E41D4"/>
    <w:rsid w:val="007E545B"/>
    <w:rsid w:val="007E5B53"/>
    <w:rsid w:val="007E5C31"/>
    <w:rsid w:val="007E770B"/>
    <w:rsid w:val="007F00E4"/>
    <w:rsid w:val="007F2124"/>
    <w:rsid w:val="007F37A6"/>
    <w:rsid w:val="007F5191"/>
    <w:rsid w:val="007F5F8B"/>
    <w:rsid w:val="007F640E"/>
    <w:rsid w:val="007F6B87"/>
    <w:rsid w:val="00801085"/>
    <w:rsid w:val="00801206"/>
    <w:rsid w:val="008015F4"/>
    <w:rsid w:val="00801A2C"/>
    <w:rsid w:val="00801CBC"/>
    <w:rsid w:val="0080310F"/>
    <w:rsid w:val="00803768"/>
    <w:rsid w:val="0080449B"/>
    <w:rsid w:val="00804531"/>
    <w:rsid w:val="00805020"/>
    <w:rsid w:val="00807D4B"/>
    <w:rsid w:val="00807F56"/>
    <w:rsid w:val="008107B6"/>
    <w:rsid w:val="008141BA"/>
    <w:rsid w:val="00820BED"/>
    <w:rsid w:val="00820D85"/>
    <w:rsid w:val="008218ED"/>
    <w:rsid w:val="00821B7A"/>
    <w:rsid w:val="00821BF6"/>
    <w:rsid w:val="00824E5A"/>
    <w:rsid w:val="00825356"/>
    <w:rsid w:val="008258B6"/>
    <w:rsid w:val="00826423"/>
    <w:rsid w:val="0082667C"/>
    <w:rsid w:val="0083160F"/>
    <w:rsid w:val="00831D45"/>
    <w:rsid w:val="00833B28"/>
    <w:rsid w:val="008349BC"/>
    <w:rsid w:val="00834B7B"/>
    <w:rsid w:val="00835ABA"/>
    <w:rsid w:val="00836E7A"/>
    <w:rsid w:val="00841D71"/>
    <w:rsid w:val="00843065"/>
    <w:rsid w:val="008439DA"/>
    <w:rsid w:val="00843A79"/>
    <w:rsid w:val="00844FD7"/>
    <w:rsid w:val="00845AE9"/>
    <w:rsid w:val="00845E22"/>
    <w:rsid w:val="00847B6C"/>
    <w:rsid w:val="0085092F"/>
    <w:rsid w:val="00850ADC"/>
    <w:rsid w:val="0085403D"/>
    <w:rsid w:val="008548AE"/>
    <w:rsid w:val="0085511D"/>
    <w:rsid w:val="00856277"/>
    <w:rsid w:val="0085761B"/>
    <w:rsid w:val="00857754"/>
    <w:rsid w:val="00857DEC"/>
    <w:rsid w:val="00860A3D"/>
    <w:rsid w:val="008621F6"/>
    <w:rsid w:val="00862DA4"/>
    <w:rsid w:val="00863107"/>
    <w:rsid w:val="00864236"/>
    <w:rsid w:val="008647C0"/>
    <w:rsid w:val="008648B9"/>
    <w:rsid w:val="00865087"/>
    <w:rsid w:val="00865C15"/>
    <w:rsid w:val="00866062"/>
    <w:rsid w:val="008670D8"/>
    <w:rsid w:val="00867DBF"/>
    <w:rsid w:val="008708CE"/>
    <w:rsid w:val="00870A43"/>
    <w:rsid w:val="00870D35"/>
    <w:rsid w:val="00871CEC"/>
    <w:rsid w:val="00872969"/>
    <w:rsid w:val="00872AD4"/>
    <w:rsid w:val="00875C89"/>
    <w:rsid w:val="0087693A"/>
    <w:rsid w:val="00876FAC"/>
    <w:rsid w:val="00880593"/>
    <w:rsid w:val="0088069E"/>
    <w:rsid w:val="00880C2A"/>
    <w:rsid w:val="00881478"/>
    <w:rsid w:val="008823A0"/>
    <w:rsid w:val="00882E19"/>
    <w:rsid w:val="00883B48"/>
    <w:rsid w:val="00883CF8"/>
    <w:rsid w:val="0088465A"/>
    <w:rsid w:val="008847C0"/>
    <w:rsid w:val="008877DD"/>
    <w:rsid w:val="00891B3A"/>
    <w:rsid w:val="008929CF"/>
    <w:rsid w:val="00895ACB"/>
    <w:rsid w:val="00895D68"/>
    <w:rsid w:val="008967A7"/>
    <w:rsid w:val="00896D6D"/>
    <w:rsid w:val="00896F14"/>
    <w:rsid w:val="008A34DE"/>
    <w:rsid w:val="008A38AB"/>
    <w:rsid w:val="008A4369"/>
    <w:rsid w:val="008A619D"/>
    <w:rsid w:val="008A6462"/>
    <w:rsid w:val="008A6A6C"/>
    <w:rsid w:val="008A7201"/>
    <w:rsid w:val="008B09AB"/>
    <w:rsid w:val="008B1E37"/>
    <w:rsid w:val="008B32B2"/>
    <w:rsid w:val="008B38F9"/>
    <w:rsid w:val="008B4522"/>
    <w:rsid w:val="008B4906"/>
    <w:rsid w:val="008B51EB"/>
    <w:rsid w:val="008C1A56"/>
    <w:rsid w:val="008C26A6"/>
    <w:rsid w:val="008C37E2"/>
    <w:rsid w:val="008C40D2"/>
    <w:rsid w:val="008C55BD"/>
    <w:rsid w:val="008C6368"/>
    <w:rsid w:val="008C738A"/>
    <w:rsid w:val="008C7CC2"/>
    <w:rsid w:val="008D0788"/>
    <w:rsid w:val="008D09BA"/>
    <w:rsid w:val="008D0B78"/>
    <w:rsid w:val="008D0D0B"/>
    <w:rsid w:val="008D1415"/>
    <w:rsid w:val="008D2835"/>
    <w:rsid w:val="008D3BAF"/>
    <w:rsid w:val="008D5004"/>
    <w:rsid w:val="008D582F"/>
    <w:rsid w:val="008D6051"/>
    <w:rsid w:val="008D6C26"/>
    <w:rsid w:val="008E0091"/>
    <w:rsid w:val="008E0680"/>
    <w:rsid w:val="008E1FAB"/>
    <w:rsid w:val="008E2B99"/>
    <w:rsid w:val="008E3157"/>
    <w:rsid w:val="008E346B"/>
    <w:rsid w:val="008E35E9"/>
    <w:rsid w:val="008E418E"/>
    <w:rsid w:val="008E4205"/>
    <w:rsid w:val="008E4DE8"/>
    <w:rsid w:val="008E65BD"/>
    <w:rsid w:val="008E6932"/>
    <w:rsid w:val="008E73A4"/>
    <w:rsid w:val="008E7D9D"/>
    <w:rsid w:val="008F148D"/>
    <w:rsid w:val="008F3ED9"/>
    <w:rsid w:val="008F612A"/>
    <w:rsid w:val="008F6789"/>
    <w:rsid w:val="008F7A73"/>
    <w:rsid w:val="0090032E"/>
    <w:rsid w:val="009004B0"/>
    <w:rsid w:val="00902DD2"/>
    <w:rsid w:val="0090361C"/>
    <w:rsid w:val="00903AC2"/>
    <w:rsid w:val="00903E77"/>
    <w:rsid w:val="009041B7"/>
    <w:rsid w:val="00905DAE"/>
    <w:rsid w:val="00906049"/>
    <w:rsid w:val="009135BF"/>
    <w:rsid w:val="00913840"/>
    <w:rsid w:val="00913863"/>
    <w:rsid w:val="00913B78"/>
    <w:rsid w:val="00914989"/>
    <w:rsid w:val="00916D38"/>
    <w:rsid w:val="00920A94"/>
    <w:rsid w:val="009216BB"/>
    <w:rsid w:val="00921935"/>
    <w:rsid w:val="00924220"/>
    <w:rsid w:val="00925520"/>
    <w:rsid w:val="0092646A"/>
    <w:rsid w:val="0092694E"/>
    <w:rsid w:val="00926CB1"/>
    <w:rsid w:val="0092719B"/>
    <w:rsid w:val="00927CA8"/>
    <w:rsid w:val="0093066D"/>
    <w:rsid w:val="00930D56"/>
    <w:rsid w:val="00930E52"/>
    <w:rsid w:val="009329A6"/>
    <w:rsid w:val="00932A43"/>
    <w:rsid w:val="00933002"/>
    <w:rsid w:val="00933A96"/>
    <w:rsid w:val="00933E5D"/>
    <w:rsid w:val="00934295"/>
    <w:rsid w:val="00934611"/>
    <w:rsid w:val="00934C89"/>
    <w:rsid w:val="00937445"/>
    <w:rsid w:val="00940D65"/>
    <w:rsid w:val="00943D58"/>
    <w:rsid w:val="009476F8"/>
    <w:rsid w:val="0095086C"/>
    <w:rsid w:val="00952192"/>
    <w:rsid w:val="0095304C"/>
    <w:rsid w:val="00954C42"/>
    <w:rsid w:val="00955B7B"/>
    <w:rsid w:val="00956184"/>
    <w:rsid w:val="00956D31"/>
    <w:rsid w:val="00956DCF"/>
    <w:rsid w:val="0095750D"/>
    <w:rsid w:val="00960A31"/>
    <w:rsid w:val="00961DFA"/>
    <w:rsid w:val="00961DFB"/>
    <w:rsid w:val="00962024"/>
    <w:rsid w:val="009621A1"/>
    <w:rsid w:val="009631B0"/>
    <w:rsid w:val="00963571"/>
    <w:rsid w:val="0096439D"/>
    <w:rsid w:val="00964DC2"/>
    <w:rsid w:val="00965602"/>
    <w:rsid w:val="0096764A"/>
    <w:rsid w:val="00967AC3"/>
    <w:rsid w:val="009709A7"/>
    <w:rsid w:val="00971B18"/>
    <w:rsid w:val="009724A1"/>
    <w:rsid w:val="0097379B"/>
    <w:rsid w:val="009744DF"/>
    <w:rsid w:val="0097499A"/>
    <w:rsid w:val="00974D47"/>
    <w:rsid w:val="00974E09"/>
    <w:rsid w:val="00975393"/>
    <w:rsid w:val="009756A0"/>
    <w:rsid w:val="00975953"/>
    <w:rsid w:val="0097639C"/>
    <w:rsid w:val="0098014C"/>
    <w:rsid w:val="00981E98"/>
    <w:rsid w:val="00982766"/>
    <w:rsid w:val="00983816"/>
    <w:rsid w:val="009846D7"/>
    <w:rsid w:val="00984D61"/>
    <w:rsid w:val="00985C43"/>
    <w:rsid w:val="00986288"/>
    <w:rsid w:val="009865C9"/>
    <w:rsid w:val="00986637"/>
    <w:rsid w:val="00986B67"/>
    <w:rsid w:val="00986DC3"/>
    <w:rsid w:val="0098709B"/>
    <w:rsid w:val="009873AD"/>
    <w:rsid w:val="0098751B"/>
    <w:rsid w:val="00987B85"/>
    <w:rsid w:val="0099041D"/>
    <w:rsid w:val="00990F80"/>
    <w:rsid w:val="00991117"/>
    <w:rsid w:val="00991449"/>
    <w:rsid w:val="009915C2"/>
    <w:rsid w:val="009935C0"/>
    <w:rsid w:val="009945E3"/>
    <w:rsid w:val="009958B7"/>
    <w:rsid w:val="00995ABE"/>
    <w:rsid w:val="00995EDC"/>
    <w:rsid w:val="00995FE1"/>
    <w:rsid w:val="009964B7"/>
    <w:rsid w:val="0099665A"/>
    <w:rsid w:val="00996922"/>
    <w:rsid w:val="00997A8F"/>
    <w:rsid w:val="00997A98"/>
    <w:rsid w:val="009A0F76"/>
    <w:rsid w:val="009A126C"/>
    <w:rsid w:val="009A19B5"/>
    <w:rsid w:val="009A1D5E"/>
    <w:rsid w:val="009A2D90"/>
    <w:rsid w:val="009A2F3F"/>
    <w:rsid w:val="009A55AB"/>
    <w:rsid w:val="009A6530"/>
    <w:rsid w:val="009A701E"/>
    <w:rsid w:val="009A75E9"/>
    <w:rsid w:val="009A7840"/>
    <w:rsid w:val="009B0455"/>
    <w:rsid w:val="009B08A6"/>
    <w:rsid w:val="009B114D"/>
    <w:rsid w:val="009B270A"/>
    <w:rsid w:val="009B2D79"/>
    <w:rsid w:val="009B3A98"/>
    <w:rsid w:val="009B3F2D"/>
    <w:rsid w:val="009B4603"/>
    <w:rsid w:val="009B46C3"/>
    <w:rsid w:val="009B4F04"/>
    <w:rsid w:val="009B5B22"/>
    <w:rsid w:val="009B5C73"/>
    <w:rsid w:val="009B7B20"/>
    <w:rsid w:val="009C0BFB"/>
    <w:rsid w:val="009C2EFC"/>
    <w:rsid w:val="009C4644"/>
    <w:rsid w:val="009C4A3F"/>
    <w:rsid w:val="009C4AB7"/>
    <w:rsid w:val="009C596B"/>
    <w:rsid w:val="009C5E60"/>
    <w:rsid w:val="009C6554"/>
    <w:rsid w:val="009C7075"/>
    <w:rsid w:val="009C7161"/>
    <w:rsid w:val="009C7253"/>
    <w:rsid w:val="009C748B"/>
    <w:rsid w:val="009C7C55"/>
    <w:rsid w:val="009D0C84"/>
    <w:rsid w:val="009D2540"/>
    <w:rsid w:val="009D31D0"/>
    <w:rsid w:val="009D3E81"/>
    <w:rsid w:val="009D4FC8"/>
    <w:rsid w:val="009D55DA"/>
    <w:rsid w:val="009D5AAF"/>
    <w:rsid w:val="009D64DB"/>
    <w:rsid w:val="009D6940"/>
    <w:rsid w:val="009D72B1"/>
    <w:rsid w:val="009D752F"/>
    <w:rsid w:val="009E00AD"/>
    <w:rsid w:val="009E06EB"/>
    <w:rsid w:val="009E0E4A"/>
    <w:rsid w:val="009E1968"/>
    <w:rsid w:val="009E1B0A"/>
    <w:rsid w:val="009E3F96"/>
    <w:rsid w:val="009E5310"/>
    <w:rsid w:val="009E57FD"/>
    <w:rsid w:val="009E6D0E"/>
    <w:rsid w:val="009E711D"/>
    <w:rsid w:val="009E72CA"/>
    <w:rsid w:val="009E7F8A"/>
    <w:rsid w:val="009F034F"/>
    <w:rsid w:val="009F267B"/>
    <w:rsid w:val="009F26FF"/>
    <w:rsid w:val="009F3FBF"/>
    <w:rsid w:val="009F4378"/>
    <w:rsid w:val="009F4715"/>
    <w:rsid w:val="009F4A6A"/>
    <w:rsid w:val="009F4A7D"/>
    <w:rsid w:val="009F56CF"/>
    <w:rsid w:val="009F717B"/>
    <w:rsid w:val="00A012F2"/>
    <w:rsid w:val="00A030C4"/>
    <w:rsid w:val="00A0335D"/>
    <w:rsid w:val="00A05E0D"/>
    <w:rsid w:val="00A06140"/>
    <w:rsid w:val="00A06666"/>
    <w:rsid w:val="00A11045"/>
    <w:rsid w:val="00A112C9"/>
    <w:rsid w:val="00A1131F"/>
    <w:rsid w:val="00A13E54"/>
    <w:rsid w:val="00A152B2"/>
    <w:rsid w:val="00A1747C"/>
    <w:rsid w:val="00A200AD"/>
    <w:rsid w:val="00A20A37"/>
    <w:rsid w:val="00A213E8"/>
    <w:rsid w:val="00A223DE"/>
    <w:rsid w:val="00A2256C"/>
    <w:rsid w:val="00A26A85"/>
    <w:rsid w:val="00A2703E"/>
    <w:rsid w:val="00A3103A"/>
    <w:rsid w:val="00A32152"/>
    <w:rsid w:val="00A3264C"/>
    <w:rsid w:val="00A33B8E"/>
    <w:rsid w:val="00A344DD"/>
    <w:rsid w:val="00A34D94"/>
    <w:rsid w:val="00A3571B"/>
    <w:rsid w:val="00A3577A"/>
    <w:rsid w:val="00A3603E"/>
    <w:rsid w:val="00A371E6"/>
    <w:rsid w:val="00A373B0"/>
    <w:rsid w:val="00A4126A"/>
    <w:rsid w:val="00A4366D"/>
    <w:rsid w:val="00A4606E"/>
    <w:rsid w:val="00A46645"/>
    <w:rsid w:val="00A46710"/>
    <w:rsid w:val="00A46F57"/>
    <w:rsid w:val="00A47CA7"/>
    <w:rsid w:val="00A509CC"/>
    <w:rsid w:val="00A51F5E"/>
    <w:rsid w:val="00A520B6"/>
    <w:rsid w:val="00A52E66"/>
    <w:rsid w:val="00A548A1"/>
    <w:rsid w:val="00A578B6"/>
    <w:rsid w:val="00A579D3"/>
    <w:rsid w:val="00A6086E"/>
    <w:rsid w:val="00A618A9"/>
    <w:rsid w:val="00A6212A"/>
    <w:rsid w:val="00A624B9"/>
    <w:rsid w:val="00A63B85"/>
    <w:rsid w:val="00A669E9"/>
    <w:rsid w:val="00A67279"/>
    <w:rsid w:val="00A72C49"/>
    <w:rsid w:val="00A74113"/>
    <w:rsid w:val="00A75DA6"/>
    <w:rsid w:val="00A76056"/>
    <w:rsid w:val="00A77F25"/>
    <w:rsid w:val="00A81057"/>
    <w:rsid w:val="00A84416"/>
    <w:rsid w:val="00A8519F"/>
    <w:rsid w:val="00A85A0B"/>
    <w:rsid w:val="00A8758C"/>
    <w:rsid w:val="00A90DCB"/>
    <w:rsid w:val="00A91D0E"/>
    <w:rsid w:val="00A92B28"/>
    <w:rsid w:val="00A93ADE"/>
    <w:rsid w:val="00A9440F"/>
    <w:rsid w:val="00A971FC"/>
    <w:rsid w:val="00A973BB"/>
    <w:rsid w:val="00AA072D"/>
    <w:rsid w:val="00AA1508"/>
    <w:rsid w:val="00AA1C51"/>
    <w:rsid w:val="00AA3672"/>
    <w:rsid w:val="00AA6DD0"/>
    <w:rsid w:val="00AA76BA"/>
    <w:rsid w:val="00AB062B"/>
    <w:rsid w:val="00AB0991"/>
    <w:rsid w:val="00AB0D3B"/>
    <w:rsid w:val="00AB4E5F"/>
    <w:rsid w:val="00AB5082"/>
    <w:rsid w:val="00AB6353"/>
    <w:rsid w:val="00AB7557"/>
    <w:rsid w:val="00AB7CE7"/>
    <w:rsid w:val="00AC01AC"/>
    <w:rsid w:val="00AC194F"/>
    <w:rsid w:val="00AC2E17"/>
    <w:rsid w:val="00AC36D6"/>
    <w:rsid w:val="00AC4D92"/>
    <w:rsid w:val="00AC4F12"/>
    <w:rsid w:val="00AC5CD9"/>
    <w:rsid w:val="00AC5EE1"/>
    <w:rsid w:val="00AC62D9"/>
    <w:rsid w:val="00AC7133"/>
    <w:rsid w:val="00AC7F60"/>
    <w:rsid w:val="00AD0D83"/>
    <w:rsid w:val="00AD1456"/>
    <w:rsid w:val="00AD1FAF"/>
    <w:rsid w:val="00AD29EB"/>
    <w:rsid w:val="00AD473B"/>
    <w:rsid w:val="00AD4F57"/>
    <w:rsid w:val="00AD537B"/>
    <w:rsid w:val="00AD651C"/>
    <w:rsid w:val="00AD6A7F"/>
    <w:rsid w:val="00AE02B0"/>
    <w:rsid w:val="00AE0CB7"/>
    <w:rsid w:val="00AE2FDB"/>
    <w:rsid w:val="00AE3794"/>
    <w:rsid w:val="00AE418D"/>
    <w:rsid w:val="00AE5B57"/>
    <w:rsid w:val="00AE6826"/>
    <w:rsid w:val="00AF112C"/>
    <w:rsid w:val="00AF1FFF"/>
    <w:rsid w:val="00AF23D9"/>
    <w:rsid w:val="00AF24A3"/>
    <w:rsid w:val="00AF39AD"/>
    <w:rsid w:val="00AF6080"/>
    <w:rsid w:val="00AF72F0"/>
    <w:rsid w:val="00B0231E"/>
    <w:rsid w:val="00B024E6"/>
    <w:rsid w:val="00B0315F"/>
    <w:rsid w:val="00B03ACA"/>
    <w:rsid w:val="00B0433D"/>
    <w:rsid w:val="00B056CF"/>
    <w:rsid w:val="00B05CEC"/>
    <w:rsid w:val="00B06219"/>
    <w:rsid w:val="00B06A22"/>
    <w:rsid w:val="00B10D7C"/>
    <w:rsid w:val="00B15B9F"/>
    <w:rsid w:val="00B1769A"/>
    <w:rsid w:val="00B20911"/>
    <w:rsid w:val="00B26209"/>
    <w:rsid w:val="00B263C2"/>
    <w:rsid w:val="00B26837"/>
    <w:rsid w:val="00B26973"/>
    <w:rsid w:val="00B26B59"/>
    <w:rsid w:val="00B278E1"/>
    <w:rsid w:val="00B305A3"/>
    <w:rsid w:val="00B31716"/>
    <w:rsid w:val="00B31876"/>
    <w:rsid w:val="00B31B8E"/>
    <w:rsid w:val="00B31F66"/>
    <w:rsid w:val="00B33342"/>
    <w:rsid w:val="00B3411D"/>
    <w:rsid w:val="00B40DB8"/>
    <w:rsid w:val="00B41420"/>
    <w:rsid w:val="00B414D0"/>
    <w:rsid w:val="00B415F3"/>
    <w:rsid w:val="00B41710"/>
    <w:rsid w:val="00B429F6"/>
    <w:rsid w:val="00B42E2B"/>
    <w:rsid w:val="00B431AA"/>
    <w:rsid w:val="00B4579F"/>
    <w:rsid w:val="00B46FFC"/>
    <w:rsid w:val="00B47F5D"/>
    <w:rsid w:val="00B509B7"/>
    <w:rsid w:val="00B50BEE"/>
    <w:rsid w:val="00B5192B"/>
    <w:rsid w:val="00B53219"/>
    <w:rsid w:val="00B53BB4"/>
    <w:rsid w:val="00B55516"/>
    <w:rsid w:val="00B62B65"/>
    <w:rsid w:val="00B648F4"/>
    <w:rsid w:val="00B667BC"/>
    <w:rsid w:val="00B6723D"/>
    <w:rsid w:val="00B67E33"/>
    <w:rsid w:val="00B715D8"/>
    <w:rsid w:val="00B720CD"/>
    <w:rsid w:val="00B7266E"/>
    <w:rsid w:val="00B73F2B"/>
    <w:rsid w:val="00B74735"/>
    <w:rsid w:val="00B74909"/>
    <w:rsid w:val="00B75F33"/>
    <w:rsid w:val="00B773CA"/>
    <w:rsid w:val="00B77905"/>
    <w:rsid w:val="00B81F0B"/>
    <w:rsid w:val="00B82EE2"/>
    <w:rsid w:val="00B85570"/>
    <w:rsid w:val="00B8570C"/>
    <w:rsid w:val="00B86B35"/>
    <w:rsid w:val="00B900B8"/>
    <w:rsid w:val="00B912D8"/>
    <w:rsid w:val="00B91A1F"/>
    <w:rsid w:val="00B92E1A"/>
    <w:rsid w:val="00B931C9"/>
    <w:rsid w:val="00B9379B"/>
    <w:rsid w:val="00B95ECA"/>
    <w:rsid w:val="00B9751B"/>
    <w:rsid w:val="00BA02D6"/>
    <w:rsid w:val="00BA0ACA"/>
    <w:rsid w:val="00BA2768"/>
    <w:rsid w:val="00BA3620"/>
    <w:rsid w:val="00BA36A2"/>
    <w:rsid w:val="00BA4535"/>
    <w:rsid w:val="00BA455F"/>
    <w:rsid w:val="00BA55A0"/>
    <w:rsid w:val="00BA6C82"/>
    <w:rsid w:val="00BA6FE5"/>
    <w:rsid w:val="00BA7338"/>
    <w:rsid w:val="00BA7BF6"/>
    <w:rsid w:val="00BA7DDA"/>
    <w:rsid w:val="00BB2E0B"/>
    <w:rsid w:val="00BB3CE6"/>
    <w:rsid w:val="00BB3FEB"/>
    <w:rsid w:val="00BB5B31"/>
    <w:rsid w:val="00BB6D0E"/>
    <w:rsid w:val="00BC0BC8"/>
    <w:rsid w:val="00BC217B"/>
    <w:rsid w:val="00BC33CE"/>
    <w:rsid w:val="00BC3584"/>
    <w:rsid w:val="00BC47A3"/>
    <w:rsid w:val="00BC48D9"/>
    <w:rsid w:val="00BC4B65"/>
    <w:rsid w:val="00BC5368"/>
    <w:rsid w:val="00BC5AA0"/>
    <w:rsid w:val="00BC5B5D"/>
    <w:rsid w:val="00BC74F3"/>
    <w:rsid w:val="00BD01D6"/>
    <w:rsid w:val="00BD3F64"/>
    <w:rsid w:val="00BD6905"/>
    <w:rsid w:val="00BE0F75"/>
    <w:rsid w:val="00BE10F3"/>
    <w:rsid w:val="00BE2B62"/>
    <w:rsid w:val="00BE3941"/>
    <w:rsid w:val="00BE43A0"/>
    <w:rsid w:val="00BE4835"/>
    <w:rsid w:val="00BE51E2"/>
    <w:rsid w:val="00BE7065"/>
    <w:rsid w:val="00BF0557"/>
    <w:rsid w:val="00BF086D"/>
    <w:rsid w:val="00BF3069"/>
    <w:rsid w:val="00BF367F"/>
    <w:rsid w:val="00BF3D26"/>
    <w:rsid w:val="00BF47A2"/>
    <w:rsid w:val="00BF4FC2"/>
    <w:rsid w:val="00BF5A01"/>
    <w:rsid w:val="00BF5D51"/>
    <w:rsid w:val="00C015B0"/>
    <w:rsid w:val="00C03C94"/>
    <w:rsid w:val="00C05629"/>
    <w:rsid w:val="00C10427"/>
    <w:rsid w:val="00C10DE2"/>
    <w:rsid w:val="00C1248B"/>
    <w:rsid w:val="00C124C0"/>
    <w:rsid w:val="00C126B9"/>
    <w:rsid w:val="00C12EE3"/>
    <w:rsid w:val="00C13E08"/>
    <w:rsid w:val="00C1442E"/>
    <w:rsid w:val="00C14FB1"/>
    <w:rsid w:val="00C15567"/>
    <w:rsid w:val="00C1644B"/>
    <w:rsid w:val="00C16834"/>
    <w:rsid w:val="00C20B84"/>
    <w:rsid w:val="00C21B39"/>
    <w:rsid w:val="00C21F14"/>
    <w:rsid w:val="00C22230"/>
    <w:rsid w:val="00C23D4B"/>
    <w:rsid w:val="00C23E6D"/>
    <w:rsid w:val="00C2724F"/>
    <w:rsid w:val="00C31876"/>
    <w:rsid w:val="00C32DA7"/>
    <w:rsid w:val="00C33C2E"/>
    <w:rsid w:val="00C3402F"/>
    <w:rsid w:val="00C34DBE"/>
    <w:rsid w:val="00C35542"/>
    <w:rsid w:val="00C358FF"/>
    <w:rsid w:val="00C35FF7"/>
    <w:rsid w:val="00C379BF"/>
    <w:rsid w:val="00C41394"/>
    <w:rsid w:val="00C4236F"/>
    <w:rsid w:val="00C4249A"/>
    <w:rsid w:val="00C42A41"/>
    <w:rsid w:val="00C42DCD"/>
    <w:rsid w:val="00C42F61"/>
    <w:rsid w:val="00C43790"/>
    <w:rsid w:val="00C450AB"/>
    <w:rsid w:val="00C45431"/>
    <w:rsid w:val="00C461A8"/>
    <w:rsid w:val="00C466BD"/>
    <w:rsid w:val="00C46E4E"/>
    <w:rsid w:val="00C50165"/>
    <w:rsid w:val="00C50C16"/>
    <w:rsid w:val="00C51DE0"/>
    <w:rsid w:val="00C51E0E"/>
    <w:rsid w:val="00C5334C"/>
    <w:rsid w:val="00C5499D"/>
    <w:rsid w:val="00C57122"/>
    <w:rsid w:val="00C57DF7"/>
    <w:rsid w:val="00C603DF"/>
    <w:rsid w:val="00C61A58"/>
    <w:rsid w:val="00C6203D"/>
    <w:rsid w:val="00C62198"/>
    <w:rsid w:val="00C62578"/>
    <w:rsid w:val="00C62B1D"/>
    <w:rsid w:val="00C62E92"/>
    <w:rsid w:val="00C63C36"/>
    <w:rsid w:val="00C63E12"/>
    <w:rsid w:val="00C64EAE"/>
    <w:rsid w:val="00C65CD7"/>
    <w:rsid w:val="00C666E1"/>
    <w:rsid w:val="00C66D13"/>
    <w:rsid w:val="00C66FD3"/>
    <w:rsid w:val="00C6785F"/>
    <w:rsid w:val="00C7031C"/>
    <w:rsid w:val="00C7252E"/>
    <w:rsid w:val="00C7259C"/>
    <w:rsid w:val="00C733D0"/>
    <w:rsid w:val="00C76984"/>
    <w:rsid w:val="00C77307"/>
    <w:rsid w:val="00C77BE7"/>
    <w:rsid w:val="00C77CF0"/>
    <w:rsid w:val="00C8090D"/>
    <w:rsid w:val="00C812ED"/>
    <w:rsid w:val="00C82614"/>
    <w:rsid w:val="00C83BD1"/>
    <w:rsid w:val="00C85493"/>
    <w:rsid w:val="00C854DB"/>
    <w:rsid w:val="00C856B2"/>
    <w:rsid w:val="00C85908"/>
    <w:rsid w:val="00C87243"/>
    <w:rsid w:val="00C91385"/>
    <w:rsid w:val="00C926C3"/>
    <w:rsid w:val="00C929C1"/>
    <w:rsid w:val="00C9329C"/>
    <w:rsid w:val="00C935C5"/>
    <w:rsid w:val="00C96891"/>
    <w:rsid w:val="00C97D59"/>
    <w:rsid w:val="00CA006B"/>
    <w:rsid w:val="00CA0723"/>
    <w:rsid w:val="00CA3AD4"/>
    <w:rsid w:val="00CA3EBA"/>
    <w:rsid w:val="00CA55C4"/>
    <w:rsid w:val="00CA5925"/>
    <w:rsid w:val="00CA5B69"/>
    <w:rsid w:val="00CA7733"/>
    <w:rsid w:val="00CA7F45"/>
    <w:rsid w:val="00CA7F65"/>
    <w:rsid w:val="00CB00E5"/>
    <w:rsid w:val="00CB55D3"/>
    <w:rsid w:val="00CB5FD5"/>
    <w:rsid w:val="00CB6C27"/>
    <w:rsid w:val="00CC1449"/>
    <w:rsid w:val="00CC1EDD"/>
    <w:rsid w:val="00CC30A4"/>
    <w:rsid w:val="00CC4197"/>
    <w:rsid w:val="00CC4289"/>
    <w:rsid w:val="00CC4752"/>
    <w:rsid w:val="00CC594D"/>
    <w:rsid w:val="00CC67F0"/>
    <w:rsid w:val="00CC6C25"/>
    <w:rsid w:val="00CD2C5B"/>
    <w:rsid w:val="00CD3047"/>
    <w:rsid w:val="00CD3171"/>
    <w:rsid w:val="00CD3346"/>
    <w:rsid w:val="00CD6108"/>
    <w:rsid w:val="00CE163C"/>
    <w:rsid w:val="00CE1E74"/>
    <w:rsid w:val="00CE1EE7"/>
    <w:rsid w:val="00CE2622"/>
    <w:rsid w:val="00CE2802"/>
    <w:rsid w:val="00CE4E09"/>
    <w:rsid w:val="00CE5D8F"/>
    <w:rsid w:val="00CE67E8"/>
    <w:rsid w:val="00CE764B"/>
    <w:rsid w:val="00CF0D90"/>
    <w:rsid w:val="00CF1E3E"/>
    <w:rsid w:val="00CF5B03"/>
    <w:rsid w:val="00CF5B60"/>
    <w:rsid w:val="00CF6C86"/>
    <w:rsid w:val="00CF7DF4"/>
    <w:rsid w:val="00D01E09"/>
    <w:rsid w:val="00D020B8"/>
    <w:rsid w:val="00D02979"/>
    <w:rsid w:val="00D036C9"/>
    <w:rsid w:val="00D037F0"/>
    <w:rsid w:val="00D04CFA"/>
    <w:rsid w:val="00D05E05"/>
    <w:rsid w:val="00D06E18"/>
    <w:rsid w:val="00D06E23"/>
    <w:rsid w:val="00D100B7"/>
    <w:rsid w:val="00D127F3"/>
    <w:rsid w:val="00D128D4"/>
    <w:rsid w:val="00D128F6"/>
    <w:rsid w:val="00D16981"/>
    <w:rsid w:val="00D16A66"/>
    <w:rsid w:val="00D16CDC"/>
    <w:rsid w:val="00D17212"/>
    <w:rsid w:val="00D177EF"/>
    <w:rsid w:val="00D200F6"/>
    <w:rsid w:val="00D206F3"/>
    <w:rsid w:val="00D21DD6"/>
    <w:rsid w:val="00D231B6"/>
    <w:rsid w:val="00D23279"/>
    <w:rsid w:val="00D24541"/>
    <w:rsid w:val="00D27DEA"/>
    <w:rsid w:val="00D31748"/>
    <w:rsid w:val="00D31BF1"/>
    <w:rsid w:val="00D326A8"/>
    <w:rsid w:val="00D32E38"/>
    <w:rsid w:val="00D33B7C"/>
    <w:rsid w:val="00D34662"/>
    <w:rsid w:val="00D357C3"/>
    <w:rsid w:val="00D37D20"/>
    <w:rsid w:val="00D41626"/>
    <w:rsid w:val="00D42013"/>
    <w:rsid w:val="00D43898"/>
    <w:rsid w:val="00D4417E"/>
    <w:rsid w:val="00D47C0E"/>
    <w:rsid w:val="00D522B2"/>
    <w:rsid w:val="00D57072"/>
    <w:rsid w:val="00D57D7F"/>
    <w:rsid w:val="00D60643"/>
    <w:rsid w:val="00D61345"/>
    <w:rsid w:val="00D618D9"/>
    <w:rsid w:val="00D61F26"/>
    <w:rsid w:val="00D637C5"/>
    <w:rsid w:val="00D6385B"/>
    <w:rsid w:val="00D63F48"/>
    <w:rsid w:val="00D67AE7"/>
    <w:rsid w:val="00D67C25"/>
    <w:rsid w:val="00D67CBF"/>
    <w:rsid w:val="00D72068"/>
    <w:rsid w:val="00D72B84"/>
    <w:rsid w:val="00D72C6D"/>
    <w:rsid w:val="00D73846"/>
    <w:rsid w:val="00D73ABD"/>
    <w:rsid w:val="00D74114"/>
    <w:rsid w:val="00D747B1"/>
    <w:rsid w:val="00D76B0D"/>
    <w:rsid w:val="00D76B56"/>
    <w:rsid w:val="00D823A5"/>
    <w:rsid w:val="00D823FD"/>
    <w:rsid w:val="00D8240D"/>
    <w:rsid w:val="00D82E85"/>
    <w:rsid w:val="00D833BF"/>
    <w:rsid w:val="00D83701"/>
    <w:rsid w:val="00D83911"/>
    <w:rsid w:val="00D84175"/>
    <w:rsid w:val="00D85D7F"/>
    <w:rsid w:val="00D866DD"/>
    <w:rsid w:val="00D8763D"/>
    <w:rsid w:val="00D87C1B"/>
    <w:rsid w:val="00D9139D"/>
    <w:rsid w:val="00D91478"/>
    <w:rsid w:val="00D919C7"/>
    <w:rsid w:val="00D91ECC"/>
    <w:rsid w:val="00D92A47"/>
    <w:rsid w:val="00D93B4A"/>
    <w:rsid w:val="00D947E6"/>
    <w:rsid w:val="00D95543"/>
    <w:rsid w:val="00D9573D"/>
    <w:rsid w:val="00D9615C"/>
    <w:rsid w:val="00D97AFA"/>
    <w:rsid w:val="00DA03B4"/>
    <w:rsid w:val="00DA1D3E"/>
    <w:rsid w:val="00DA41EA"/>
    <w:rsid w:val="00DA4473"/>
    <w:rsid w:val="00DA520B"/>
    <w:rsid w:val="00DA547A"/>
    <w:rsid w:val="00DA677A"/>
    <w:rsid w:val="00DB09B9"/>
    <w:rsid w:val="00DB1BCB"/>
    <w:rsid w:val="00DB1BFB"/>
    <w:rsid w:val="00DB33CD"/>
    <w:rsid w:val="00DB501E"/>
    <w:rsid w:val="00DB5F02"/>
    <w:rsid w:val="00DB6513"/>
    <w:rsid w:val="00DC0A05"/>
    <w:rsid w:val="00DC23AB"/>
    <w:rsid w:val="00DC23C6"/>
    <w:rsid w:val="00DC26CE"/>
    <w:rsid w:val="00DC28B6"/>
    <w:rsid w:val="00DC28C3"/>
    <w:rsid w:val="00DC2C2B"/>
    <w:rsid w:val="00DC3044"/>
    <w:rsid w:val="00DC5647"/>
    <w:rsid w:val="00DC6183"/>
    <w:rsid w:val="00DC6222"/>
    <w:rsid w:val="00DC66D8"/>
    <w:rsid w:val="00DC7593"/>
    <w:rsid w:val="00DD1375"/>
    <w:rsid w:val="00DD143D"/>
    <w:rsid w:val="00DD29C0"/>
    <w:rsid w:val="00DD2CE9"/>
    <w:rsid w:val="00DD2F92"/>
    <w:rsid w:val="00DD5A1D"/>
    <w:rsid w:val="00DD6952"/>
    <w:rsid w:val="00DD721E"/>
    <w:rsid w:val="00DD7D1F"/>
    <w:rsid w:val="00DD7F4B"/>
    <w:rsid w:val="00DE020B"/>
    <w:rsid w:val="00DE0D77"/>
    <w:rsid w:val="00DE15AB"/>
    <w:rsid w:val="00DE2745"/>
    <w:rsid w:val="00DE2D3E"/>
    <w:rsid w:val="00DE33E2"/>
    <w:rsid w:val="00DE5275"/>
    <w:rsid w:val="00DE610C"/>
    <w:rsid w:val="00DE6DC5"/>
    <w:rsid w:val="00DE78F7"/>
    <w:rsid w:val="00DE79FE"/>
    <w:rsid w:val="00DF0059"/>
    <w:rsid w:val="00DF12C2"/>
    <w:rsid w:val="00DF1472"/>
    <w:rsid w:val="00DF182D"/>
    <w:rsid w:val="00DF3E0E"/>
    <w:rsid w:val="00DF567B"/>
    <w:rsid w:val="00DF75CD"/>
    <w:rsid w:val="00E00487"/>
    <w:rsid w:val="00E022AB"/>
    <w:rsid w:val="00E024DE"/>
    <w:rsid w:val="00E04DB3"/>
    <w:rsid w:val="00E0578A"/>
    <w:rsid w:val="00E0592B"/>
    <w:rsid w:val="00E06BBC"/>
    <w:rsid w:val="00E10840"/>
    <w:rsid w:val="00E11198"/>
    <w:rsid w:val="00E11D12"/>
    <w:rsid w:val="00E144B4"/>
    <w:rsid w:val="00E14F96"/>
    <w:rsid w:val="00E16C24"/>
    <w:rsid w:val="00E17C8E"/>
    <w:rsid w:val="00E2191A"/>
    <w:rsid w:val="00E23FD3"/>
    <w:rsid w:val="00E26C7F"/>
    <w:rsid w:val="00E27229"/>
    <w:rsid w:val="00E27445"/>
    <w:rsid w:val="00E27DA8"/>
    <w:rsid w:val="00E30215"/>
    <w:rsid w:val="00E333C7"/>
    <w:rsid w:val="00E3361B"/>
    <w:rsid w:val="00E3521D"/>
    <w:rsid w:val="00E42BA4"/>
    <w:rsid w:val="00E42C6F"/>
    <w:rsid w:val="00E456A7"/>
    <w:rsid w:val="00E465D7"/>
    <w:rsid w:val="00E478DC"/>
    <w:rsid w:val="00E47923"/>
    <w:rsid w:val="00E5090B"/>
    <w:rsid w:val="00E50C10"/>
    <w:rsid w:val="00E51B45"/>
    <w:rsid w:val="00E5230A"/>
    <w:rsid w:val="00E52A14"/>
    <w:rsid w:val="00E533B0"/>
    <w:rsid w:val="00E546BC"/>
    <w:rsid w:val="00E5716A"/>
    <w:rsid w:val="00E5778C"/>
    <w:rsid w:val="00E6119D"/>
    <w:rsid w:val="00E6165C"/>
    <w:rsid w:val="00E62BA8"/>
    <w:rsid w:val="00E63C3F"/>
    <w:rsid w:val="00E63D5F"/>
    <w:rsid w:val="00E64248"/>
    <w:rsid w:val="00E64397"/>
    <w:rsid w:val="00E65323"/>
    <w:rsid w:val="00E66906"/>
    <w:rsid w:val="00E6791B"/>
    <w:rsid w:val="00E67E70"/>
    <w:rsid w:val="00E7028A"/>
    <w:rsid w:val="00E7040F"/>
    <w:rsid w:val="00E708B6"/>
    <w:rsid w:val="00E72F20"/>
    <w:rsid w:val="00E77FF0"/>
    <w:rsid w:val="00E819EA"/>
    <w:rsid w:val="00E82E4B"/>
    <w:rsid w:val="00E832F9"/>
    <w:rsid w:val="00E83813"/>
    <w:rsid w:val="00E83BE2"/>
    <w:rsid w:val="00E845C6"/>
    <w:rsid w:val="00E845FD"/>
    <w:rsid w:val="00E847F5"/>
    <w:rsid w:val="00E854C3"/>
    <w:rsid w:val="00E85BC9"/>
    <w:rsid w:val="00E86065"/>
    <w:rsid w:val="00E87280"/>
    <w:rsid w:val="00E9053F"/>
    <w:rsid w:val="00E90815"/>
    <w:rsid w:val="00E940D5"/>
    <w:rsid w:val="00E9434F"/>
    <w:rsid w:val="00E954A0"/>
    <w:rsid w:val="00E96EAE"/>
    <w:rsid w:val="00E977D6"/>
    <w:rsid w:val="00E97C61"/>
    <w:rsid w:val="00EA03E2"/>
    <w:rsid w:val="00EA04F1"/>
    <w:rsid w:val="00EA0766"/>
    <w:rsid w:val="00EA0924"/>
    <w:rsid w:val="00EA1E0E"/>
    <w:rsid w:val="00EA2BF0"/>
    <w:rsid w:val="00EA3596"/>
    <w:rsid w:val="00EA5832"/>
    <w:rsid w:val="00EA687D"/>
    <w:rsid w:val="00EA7135"/>
    <w:rsid w:val="00EA74BE"/>
    <w:rsid w:val="00EB055B"/>
    <w:rsid w:val="00EB15A0"/>
    <w:rsid w:val="00EB1E02"/>
    <w:rsid w:val="00EB40F8"/>
    <w:rsid w:val="00EB5EF5"/>
    <w:rsid w:val="00EB643C"/>
    <w:rsid w:val="00EB6D1C"/>
    <w:rsid w:val="00EB7063"/>
    <w:rsid w:val="00EB71CF"/>
    <w:rsid w:val="00EC1088"/>
    <w:rsid w:val="00EC3F38"/>
    <w:rsid w:val="00EC4CF3"/>
    <w:rsid w:val="00EC4EB9"/>
    <w:rsid w:val="00EC5876"/>
    <w:rsid w:val="00EC7137"/>
    <w:rsid w:val="00ED0046"/>
    <w:rsid w:val="00ED12DA"/>
    <w:rsid w:val="00ED1F66"/>
    <w:rsid w:val="00ED254F"/>
    <w:rsid w:val="00ED29E7"/>
    <w:rsid w:val="00ED3A6F"/>
    <w:rsid w:val="00ED6062"/>
    <w:rsid w:val="00ED7BF5"/>
    <w:rsid w:val="00EE019B"/>
    <w:rsid w:val="00EE39B6"/>
    <w:rsid w:val="00EE3BED"/>
    <w:rsid w:val="00EE4652"/>
    <w:rsid w:val="00EE70FA"/>
    <w:rsid w:val="00EE7CD3"/>
    <w:rsid w:val="00EF10A9"/>
    <w:rsid w:val="00EF1A6D"/>
    <w:rsid w:val="00EF28AE"/>
    <w:rsid w:val="00EF452F"/>
    <w:rsid w:val="00EF4A1E"/>
    <w:rsid w:val="00EF5AD7"/>
    <w:rsid w:val="00EF7CC3"/>
    <w:rsid w:val="00F01033"/>
    <w:rsid w:val="00F01CD1"/>
    <w:rsid w:val="00F02A46"/>
    <w:rsid w:val="00F0401A"/>
    <w:rsid w:val="00F04422"/>
    <w:rsid w:val="00F05202"/>
    <w:rsid w:val="00F0603C"/>
    <w:rsid w:val="00F07268"/>
    <w:rsid w:val="00F0794B"/>
    <w:rsid w:val="00F124C3"/>
    <w:rsid w:val="00F124D7"/>
    <w:rsid w:val="00F131EA"/>
    <w:rsid w:val="00F1405B"/>
    <w:rsid w:val="00F15273"/>
    <w:rsid w:val="00F16E7B"/>
    <w:rsid w:val="00F173DE"/>
    <w:rsid w:val="00F17590"/>
    <w:rsid w:val="00F201EE"/>
    <w:rsid w:val="00F20B37"/>
    <w:rsid w:val="00F22770"/>
    <w:rsid w:val="00F23817"/>
    <w:rsid w:val="00F243D0"/>
    <w:rsid w:val="00F24CDA"/>
    <w:rsid w:val="00F26BC7"/>
    <w:rsid w:val="00F26D5C"/>
    <w:rsid w:val="00F31935"/>
    <w:rsid w:val="00F31B13"/>
    <w:rsid w:val="00F31C50"/>
    <w:rsid w:val="00F32327"/>
    <w:rsid w:val="00F326FD"/>
    <w:rsid w:val="00F32F2B"/>
    <w:rsid w:val="00F3502B"/>
    <w:rsid w:val="00F35863"/>
    <w:rsid w:val="00F36052"/>
    <w:rsid w:val="00F3656C"/>
    <w:rsid w:val="00F40878"/>
    <w:rsid w:val="00F40B13"/>
    <w:rsid w:val="00F42A10"/>
    <w:rsid w:val="00F44F91"/>
    <w:rsid w:val="00F51811"/>
    <w:rsid w:val="00F53294"/>
    <w:rsid w:val="00F535AF"/>
    <w:rsid w:val="00F53D23"/>
    <w:rsid w:val="00F54289"/>
    <w:rsid w:val="00F5486C"/>
    <w:rsid w:val="00F556A9"/>
    <w:rsid w:val="00F55A8D"/>
    <w:rsid w:val="00F55E19"/>
    <w:rsid w:val="00F604E7"/>
    <w:rsid w:val="00F60EF5"/>
    <w:rsid w:val="00F61281"/>
    <w:rsid w:val="00F650A6"/>
    <w:rsid w:val="00F65662"/>
    <w:rsid w:val="00F6589F"/>
    <w:rsid w:val="00F71AC4"/>
    <w:rsid w:val="00F71B25"/>
    <w:rsid w:val="00F71B85"/>
    <w:rsid w:val="00F74A51"/>
    <w:rsid w:val="00F74B0E"/>
    <w:rsid w:val="00F74E55"/>
    <w:rsid w:val="00F754A1"/>
    <w:rsid w:val="00F75994"/>
    <w:rsid w:val="00F80903"/>
    <w:rsid w:val="00F82521"/>
    <w:rsid w:val="00F833AD"/>
    <w:rsid w:val="00F83660"/>
    <w:rsid w:val="00F83FA5"/>
    <w:rsid w:val="00F84ADF"/>
    <w:rsid w:val="00F8583A"/>
    <w:rsid w:val="00F85F89"/>
    <w:rsid w:val="00F86722"/>
    <w:rsid w:val="00F87902"/>
    <w:rsid w:val="00F87C6F"/>
    <w:rsid w:val="00F90416"/>
    <w:rsid w:val="00F909F8"/>
    <w:rsid w:val="00F91898"/>
    <w:rsid w:val="00F919C0"/>
    <w:rsid w:val="00F93432"/>
    <w:rsid w:val="00F94DEC"/>
    <w:rsid w:val="00F95AD6"/>
    <w:rsid w:val="00FA135D"/>
    <w:rsid w:val="00FA35CA"/>
    <w:rsid w:val="00FA56AA"/>
    <w:rsid w:val="00FA6F1B"/>
    <w:rsid w:val="00FB14F2"/>
    <w:rsid w:val="00FB2B90"/>
    <w:rsid w:val="00FB4E6A"/>
    <w:rsid w:val="00FB6A2E"/>
    <w:rsid w:val="00FB7F35"/>
    <w:rsid w:val="00FC249F"/>
    <w:rsid w:val="00FC275C"/>
    <w:rsid w:val="00FC27B9"/>
    <w:rsid w:val="00FC3AF7"/>
    <w:rsid w:val="00FC3E43"/>
    <w:rsid w:val="00FC72CE"/>
    <w:rsid w:val="00FC758A"/>
    <w:rsid w:val="00FC7A8F"/>
    <w:rsid w:val="00FC7B24"/>
    <w:rsid w:val="00FD031E"/>
    <w:rsid w:val="00FD0986"/>
    <w:rsid w:val="00FD0A89"/>
    <w:rsid w:val="00FD0B70"/>
    <w:rsid w:val="00FD293D"/>
    <w:rsid w:val="00FD4741"/>
    <w:rsid w:val="00FD498A"/>
    <w:rsid w:val="00FD556D"/>
    <w:rsid w:val="00FD7B1D"/>
    <w:rsid w:val="00FE08F4"/>
    <w:rsid w:val="00FE1E3F"/>
    <w:rsid w:val="00FE22E6"/>
    <w:rsid w:val="00FE558D"/>
    <w:rsid w:val="00FE5926"/>
    <w:rsid w:val="00FE62A6"/>
    <w:rsid w:val="00FE6499"/>
    <w:rsid w:val="00FE6F61"/>
    <w:rsid w:val="00FE77F6"/>
    <w:rsid w:val="00FF0076"/>
    <w:rsid w:val="00FF0449"/>
    <w:rsid w:val="00FF1AD3"/>
    <w:rsid w:val="00FF47C9"/>
    <w:rsid w:val="5A3A7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CDA16"/>
  <w15:docId w15:val="{F98020B1-45AD-422E-B579-5AE71543B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unhideWhenUsed="1" w:qFormat="1"/>
    <w:lsdException w:name="heading 3" w:uiPriority="0" w:unhideWhenUsed="1" w:qFormat="1"/>
    <w:lsdException w:name="heading 4" w:uiPriority="0"/>
    <w:lsdException w:name="heading 5" w:uiPriority="0"/>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E22"/>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pPr>
      <w:keepNext/>
      <w:keepLines/>
      <w:spacing w:after="120"/>
      <w:ind w:firstLine="720"/>
      <w:jc w:val="both"/>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keepNext/>
      <w:keepLines/>
      <w:spacing w:after="120"/>
      <w:ind w:firstLine="720"/>
      <w:jc w:val="both"/>
      <w:outlineLvl w:val="1"/>
    </w:pPr>
    <w:rPr>
      <w:rFonts w:eastAsiaTheme="majorEastAsia" w:cstheme="majorBidi"/>
      <w:b/>
      <w:bCs/>
      <w:szCs w:val="26"/>
    </w:rPr>
  </w:style>
  <w:style w:type="paragraph" w:styleId="Heading3">
    <w:name w:val="heading 3"/>
    <w:basedOn w:val="Normal"/>
    <w:next w:val="Normal"/>
    <w:link w:val="Heading3Char"/>
    <w:unhideWhenUsed/>
    <w:qFormat/>
    <w:pPr>
      <w:keepNext/>
      <w:keepLines/>
      <w:spacing w:after="120"/>
      <w:ind w:firstLine="720"/>
      <w:jc w:val="both"/>
      <w:outlineLvl w:val="2"/>
    </w:pPr>
    <w:rPr>
      <w:rFonts w:eastAsiaTheme="majorEastAsia" w:cstheme="majorBidi"/>
      <w:b/>
      <w:bCs/>
      <w:i/>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qFormat/>
    <w:pPr>
      <w:spacing w:after="120"/>
    </w:pPr>
    <w:rPr>
      <w:szCs w:val="28"/>
    </w:rPr>
  </w:style>
  <w:style w:type="paragraph" w:styleId="BodyTextIndent">
    <w:name w:val="Body Text Indent"/>
    <w:basedOn w:val="Normal"/>
    <w:link w:val="BodyTextIndentChar"/>
    <w:uiPriority w:val="99"/>
    <w:semiHidden/>
    <w:unhideWhenUsed/>
    <w:qFormat/>
    <w:pPr>
      <w:spacing w:after="120"/>
      <w:ind w:left="360"/>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aliases w:val="ftref,Footnote text,fr,16 Point,Superscript 6 Point,Footnote + Arial,Black,BearingPoint,BVI fnr,Footnote Reference Number,Footnote Reference_LVL6,Footnote Reference_LVL61,Footnote Reference_LVL62,Footnote Ref in FtNote,Footnote Text1"/>
    <w:basedOn w:val="DefaultParagraphFont"/>
    <w:link w:val="Char2"/>
    <w:uiPriority w:val="99"/>
    <w:unhideWhenUsed/>
    <w:qFormat/>
    <w:rPr>
      <w:vertAlign w:val="superscript"/>
    </w:rPr>
  </w:style>
  <w:style w:type="paragraph" w:customStyle="1" w:styleId="Char2">
    <w:name w:val="Char2"/>
    <w:basedOn w:val="Normal"/>
    <w:link w:val="FootnoteReference"/>
    <w:qFormat/>
    <w:pPr>
      <w:spacing w:line="240" w:lineRule="exact"/>
    </w:pPr>
    <w:rPr>
      <w:vertAlign w:val="superscript"/>
    </w:rPr>
  </w:style>
  <w:style w:type="paragraph" w:styleId="FootnoteText">
    <w:name w:val="footnote text"/>
    <w:aliases w:val="Footnote Text Char Char Char Char Char,Footnote Text Char Char Char Char Char Char Ch Char,Footnote Text Char Char Char Char Char Char Ch Char Char Char,ARM footnote Text,Footnote Text Char2, Cha,foot,ft,single space,fn"/>
    <w:basedOn w:val="Normal"/>
    <w:link w:val="FootnoteTextChar"/>
    <w:uiPriority w:val="99"/>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aliases w:val="Char Char,Char Char Char Char Char Char Char Char Char,Обычный (веб)1,Обычный (веб) Знак,Обычный (веб) Знак1,Обычный (веб) Знак Знак,Normal (Web) Char1,Char8,webb, Char Char, Char8 Char, Char8"/>
    <w:basedOn w:val="Normal"/>
    <w:link w:val="NormalWebChar"/>
    <w:uiPriority w:val="99"/>
    <w:unhideWhenUsed/>
    <w:qFormat/>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qFormat/>
    <w:pPr>
      <w:keepNext/>
      <w:keepLines/>
      <w:spacing w:before="480" w:after="120"/>
    </w:pPr>
    <w:rPr>
      <w:b/>
      <w:sz w:val="72"/>
      <w:szCs w:val="72"/>
    </w:rPr>
  </w:style>
  <w:style w:type="paragraph" w:styleId="TOC1">
    <w:name w:val="toc 1"/>
    <w:basedOn w:val="Normal"/>
    <w:next w:val="Normal"/>
    <w:uiPriority w:val="39"/>
    <w:unhideWhenUsed/>
    <w:qFormat/>
    <w:pPr>
      <w:tabs>
        <w:tab w:val="right" w:pos="9062"/>
      </w:tabs>
      <w:spacing w:after="100"/>
    </w:pPr>
    <w:rPr>
      <w:b/>
      <w:bCs/>
    </w:r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qFormat/>
    <w:pPr>
      <w:tabs>
        <w:tab w:val="right" w:pos="9062"/>
      </w:tabs>
      <w:spacing w:after="100"/>
      <w:ind w:left="440" w:firstLine="269"/>
    </w:pPr>
  </w:style>
  <w:style w:type="paragraph" w:styleId="TOC4">
    <w:name w:val="toc 4"/>
    <w:basedOn w:val="Normal"/>
    <w:next w:val="Normal"/>
    <w:uiPriority w:val="39"/>
    <w:unhideWhenUsed/>
    <w:qFormat/>
    <w:pPr>
      <w:spacing w:after="100"/>
      <w:ind w:left="660"/>
    </w:pPr>
  </w:style>
  <w:style w:type="paragraph" w:styleId="TOC5">
    <w:name w:val="toc 5"/>
    <w:basedOn w:val="Normal"/>
    <w:next w:val="Normal"/>
    <w:uiPriority w:val="39"/>
    <w:unhideWhenUsed/>
    <w:qFormat/>
    <w:pPr>
      <w:spacing w:after="100" w:line="276" w:lineRule="auto"/>
      <w:ind w:left="880"/>
    </w:pPr>
    <w:rPr>
      <w:rFonts w:asciiTheme="minorHAnsi" w:eastAsiaTheme="minorEastAsia" w:hAnsiTheme="minorHAnsi" w:cstheme="minorBidi"/>
    </w:rPr>
  </w:style>
  <w:style w:type="paragraph" w:styleId="TOC6">
    <w:name w:val="toc 6"/>
    <w:basedOn w:val="Normal"/>
    <w:next w:val="Normal"/>
    <w:uiPriority w:val="39"/>
    <w:unhideWhenUsed/>
    <w:qFormat/>
    <w:pPr>
      <w:spacing w:after="100" w:line="276" w:lineRule="auto"/>
      <w:ind w:left="1100"/>
    </w:pPr>
    <w:rPr>
      <w:rFonts w:asciiTheme="minorHAnsi" w:eastAsiaTheme="minorEastAsia" w:hAnsiTheme="minorHAnsi" w:cstheme="minorBidi"/>
    </w:rPr>
  </w:style>
  <w:style w:type="paragraph" w:styleId="TOC7">
    <w:name w:val="toc 7"/>
    <w:basedOn w:val="Normal"/>
    <w:next w:val="Normal"/>
    <w:uiPriority w:val="39"/>
    <w:unhideWhenUsed/>
    <w:qFormat/>
    <w:pPr>
      <w:spacing w:after="100" w:line="276" w:lineRule="auto"/>
      <w:ind w:left="1320"/>
    </w:pPr>
    <w:rPr>
      <w:rFonts w:asciiTheme="minorHAnsi" w:eastAsiaTheme="minorEastAsia" w:hAnsiTheme="minorHAnsi" w:cstheme="minorBidi"/>
    </w:rPr>
  </w:style>
  <w:style w:type="paragraph" w:styleId="TOC8">
    <w:name w:val="toc 8"/>
    <w:basedOn w:val="Normal"/>
    <w:next w:val="Normal"/>
    <w:uiPriority w:val="39"/>
    <w:unhideWhenUsed/>
    <w:qFormat/>
    <w:pPr>
      <w:spacing w:after="100" w:line="276" w:lineRule="auto"/>
      <w:ind w:left="1540"/>
    </w:pPr>
    <w:rPr>
      <w:rFonts w:asciiTheme="minorHAnsi" w:eastAsiaTheme="minorEastAsia" w:hAnsiTheme="minorHAnsi" w:cstheme="minorBidi"/>
    </w:rPr>
  </w:style>
  <w:style w:type="paragraph" w:styleId="TOC9">
    <w:name w:val="toc 9"/>
    <w:basedOn w:val="Normal"/>
    <w:next w:val="Normal"/>
    <w:uiPriority w:val="39"/>
    <w:unhideWhenUsed/>
    <w:qFormat/>
    <w:pPr>
      <w:spacing w:after="100" w:line="276" w:lineRule="auto"/>
      <w:ind w:left="1760"/>
    </w:pPr>
    <w:rPr>
      <w:rFonts w:asciiTheme="minorHAnsi" w:eastAsiaTheme="minorEastAsia" w:hAnsiTheme="minorHAnsi" w:cstheme="minorBidi"/>
    </w:rPr>
  </w:style>
  <w:style w:type="character" w:customStyle="1" w:styleId="Heading1Char">
    <w:name w:val="Heading 1 Char"/>
    <w:basedOn w:val="DefaultParagraphFont"/>
    <w:link w:val="Heading1"/>
    <w:uiPriority w:val="99"/>
    <w:qFormat/>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qFormat/>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qFormat/>
    <w:rPr>
      <w:rFonts w:ascii="Times New Roman" w:eastAsiaTheme="majorEastAsia" w:hAnsi="Times New Roman" w:cstheme="majorBidi"/>
      <w:b/>
      <w:bCs/>
      <w:i/>
      <w:sz w:val="28"/>
    </w:rPr>
  </w:style>
  <w:style w:type="paragraph" w:styleId="ListParagraph">
    <w:name w:val="List Paragraph"/>
    <w:aliases w:val="List Paragraph (numbered (a)),List Paragraph1,123 List Paragraph,Main numbered paragraph,Bullets,Body,References,List_Paragraph,Multilevel para_II,Bullet,Normal 2 DC,Numbered List Paragraph,Liste 1,ReferencesCxSpLast,Dot pt,No Spacing1"/>
    <w:basedOn w:val="Normal"/>
    <w:link w:val="ListParagraphChar"/>
    <w:uiPriority w:val="34"/>
    <w:qFormat/>
    <w:pPr>
      <w:ind w:left="720"/>
      <w:contextualSpacing/>
    </w:pPr>
  </w:style>
  <w:style w:type="character" w:customStyle="1" w:styleId="ListParagraphChar">
    <w:name w:val="List Paragraph Char"/>
    <w:aliases w:val="List Paragraph (numbered (a)) Char,List Paragraph1 Char,123 List Paragraph Char,Main numbered paragraph Char,Bullets Char,Body Char,References Char,List_Paragraph Char,Multilevel para_II Char,Bullet Char,Normal 2 DC Char,Liste 1 Char"/>
    <w:link w:val="ListParagraph"/>
    <w:uiPriority w:val="34"/>
    <w:qFormat/>
    <w:rPr>
      <w:rFonts w:ascii="Times New Roman" w:hAnsi="Times New Roman"/>
      <w:sz w:val="28"/>
    </w:rPr>
  </w:style>
  <w:style w:type="character" w:customStyle="1" w:styleId="NormalWebChar">
    <w:name w:val="Normal (Web) Char"/>
    <w:aliases w:val="Char Char Char1,Char Char Char Char Char Char Char Char Char Char,Обычный (веб)1 Char,Обычный (веб) Знак Char,Обычный (веб) Знак1 Char,Обычный (веб) Знак Знак Char,Normal (Web) Char1 Char,Char8 Char,webb Char, Char Char Char"/>
    <w:link w:val="NormalWeb"/>
    <w:uiPriority w:val="99"/>
    <w:qFormat/>
    <w:locked/>
    <w:rPr>
      <w:rFonts w:ascii="Times New Roman" w:eastAsia="Times New Roman" w:hAnsi="Times New Roman" w:cs="Times New Roman"/>
      <w:sz w:val="24"/>
      <w:szCs w:val="24"/>
    </w:rPr>
  </w:style>
  <w:style w:type="character" w:customStyle="1" w:styleId="fontstyle01">
    <w:name w:val="fontstyle01"/>
    <w:basedOn w:val="DefaultParagraphFont"/>
    <w:qFormat/>
    <w:rPr>
      <w:rFonts w:ascii="TimesNewRomanPSMT" w:hAnsi="TimesNewRomanPSMT" w:hint="default"/>
      <w:color w:val="000000"/>
      <w:sz w:val="28"/>
      <w:szCs w:val="28"/>
    </w:rPr>
  </w:style>
  <w:style w:type="paragraph" w:customStyle="1" w:styleId="nd">
    <w:name w:val="nd"/>
    <w:basedOn w:val="Normal"/>
    <w:qFormat/>
    <w:pPr>
      <w:spacing w:before="120" w:line="320" w:lineRule="exact"/>
      <w:ind w:firstLine="567"/>
      <w:jc w:val="both"/>
    </w:pPr>
    <w:rPr>
      <w:rFonts w:eastAsia="MS Mincho"/>
      <w:color w:val="000000"/>
      <w:szCs w:val="28"/>
      <w:lang w:val="vi-VN" w:eastAsia="ja-JP"/>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1,Footnote Text Char2 Char, Cha Char1"/>
    <w:basedOn w:val="DefaultParagraphFont"/>
    <w:link w:val="FootnoteText"/>
    <w:uiPriority w:val="99"/>
    <w:qFormat/>
    <w:rPr>
      <w:rFonts w:ascii="Times New Roman" w:eastAsia="Times New Roman" w:hAnsi="Times New Roman" w:cs="Times New Roman"/>
      <w:sz w:val="20"/>
      <w:szCs w:val="20"/>
    </w:rPr>
  </w:style>
  <w:style w:type="paragraph" w:customStyle="1" w:styleId="TOCHeading1">
    <w:name w:val="TOC Heading1"/>
    <w:basedOn w:val="Heading1"/>
    <w:next w:val="Normal"/>
    <w:uiPriority w:val="39"/>
    <w:semiHidden/>
    <w:unhideWhenUsed/>
    <w:qFormat/>
    <w:pPr>
      <w:spacing w:before="480" w:line="276" w:lineRule="auto"/>
      <w:jc w:val="left"/>
      <w:outlineLvl w:val="9"/>
    </w:pPr>
    <w:rPr>
      <w:rFonts w:asciiTheme="majorHAnsi" w:hAnsiTheme="majorHAnsi"/>
      <w:color w:val="2F5496" w:themeColor="accent1" w:themeShade="BF"/>
      <w:lang w:eastAsia="ja-JP"/>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paragraph" w:customStyle="1" w:styleId="other0">
    <w:name w:val="other0"/>
    <w:basedOn w:val="Normal"/>
    <w:qFormat/>
    <w:pPr>
      <w:spacing w:before="100" w:beforeAutospacing="1" w:after="100" w:afterAutospacing="1"/>
      <w:contextualSpacing/>
    </w:pPr>
  </w:style>
  <w:style w:type="character" w:customStyle="1" w:styleId="FootnoteTextChar1">
    <w:name w:val="Footnote Text Char1"/>
    <w:basedOn w:val="DefaultParagraphFont"/>
    <w:uiPriority w:val="99"/>
    <w:semiHidden/>
    <w:qFormat/>
    <w:rPr>
      <w:sz w:val="20"/>
      <w:szCs w:val="20"/>
    </w:rPr>
  </w:style>
  <w:style w:type="character" w:customStyle="1" w:styleId="tgt-vb">
    <w:name w:val="tgt-vb"/>
    <w:basedOn w:val="DefaultParagraphFont"/>
    <w:qFormat/>
  </w:style>
  <w:style w:type="character" w:customStyle="1" w:styleId="y2iqfc">
    <w:name w:val="y2iqfc"/>
    <w:basedOn w:val="DefaultParagraphFont"/>
    <w:qFormat/>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table" w:customStyle="1" w:styleId="Style43">
    <w:name w:val="_Style 43"/>
    <w:basedOn w:val="TableNormal"/>
    <w:qFormat/>
    <w:tblPr/>
  </w:style>
  <w:style w:type="table" w:customStyle="1" w:styleId="Style44">
    <w:name w:val="_Style 44"/>
    <w:basedOn w:val="TableNormal"/>
    <w:qFormat/>
    <w:tblPr/>
  </w:style>
  <w:style w:type="table" w:customStyle="1" w:styleId="Style45">
    <w:name w:val="_Style 45"/>
    <w:basedOn w:val="TableNormal"/>
    <w:qFormat/>
    <w:tblPr/>
  </w:style>
  <w:style w:type="table" w:customStyle="1" w:styleId="Style46">
    <w:name w:val="_Style 46"/>
    <w:basedOn w:val="TableNormal"/>
    <w:qFormat/>
    <w:tblPr/>
  </w:style>
  <w:style w:type="table" w:customStyle="1" w:styleId="Style47">
    <w:name w:val="_Style 47"/>
    <w:basedOn w:val="TableNormal"/>
    <w:qFormat/>
    <w:tblPr>
      <w:tblCellMar>
        <w:left w:w="0" w:type="dxa"/>
        <w:right w:w="0" w:type="dxa"/>
      </w:tblCellMar>
    </w:tblPr>
  </w:style>
  <w:style w:type="table" w:customStyle="1" w:styleId="Style48">
    <w:name w:val="_Style 48"/>
    <w:basedOn w:val="TableNormal"/>
    <w:qFormat/>
    <w:tblPr/>
  </w:style>
  <w:style w:type="paragraph" w:customStyle="1" w:styleId="nidung">
    <w:name w:val="nội dung"/>
    <w:basedOn w:val="Normal"/>
    <w:qFormat/>
    <w:pPr>
      <w:spacing w:before="120" w:after="120"/>
      <w:ind w:firstLine="720"/>
      <w:jc w:val="both"/>
    </w:pPr>
  </w:style>
  <w:style w:type="paragraph" w:customStyle="1" w:styleId="HG-Para">
    <w:name w:val="HG-Para"/>
    <w:basedOn w:val="Normal"/>
    <w:qFormat/>
    <w:pPr>
      <w:spacing w:after="120"/>
      <w:ind w:firstLine="720"/>
      <w:jc w:val="both"/>
    </w:pPr>
    <w:rPr>
      <w:rFonts w:eastAsia="Arial"/>
    </w:rPr>
  </w:style>
  <w:style w:type="character" w:customStyle="1" w:styleId="BodyTextChar">
    <w:name w:val="Body Text Char"/>
    <w:basedOn w:val="DefaultParagraphFont"/>
    <w:link w:val="BodyText"/>
    <w:qFormat/>
    <w:rPr>
      <w:rFonts w:ascii="Times New Roman" w:eastAsia="Times New Roman" w:hAnsi="Times New Roman" w:cs="Times New Roman"/>
      <w:sz w:val="28"/>
      <w:szCs w:val="28"/>
    </w:rPr>
  </w:style>
  <w:style w:type="paragraph" w:customStyle="1" w:styleId="CharCharChar">
    <w:name w:val="Char Char Char"/>
    <w:basedOn w:val="Normal"/>
    <w:qFormat/>
    <w:pPr>
      <w:spacing w:line="240" w:lineRule="exact"/>
    </w:pPr>
    <w:rPr>
      <w:rFonts w:ascii="Tahoma" w:eastAsia="PMingLiU" w:hAnsi="Tahoma"/>
      <w:sz w:val="20"/>
      <w:szCs w:val="20"/>
    </w:rPr>
  </w:style>
  <w:style w:type="character" w:customStyle="1" w:styleId="McnidungChar">
    <w:name w:val="Mục nội dung Char"/>
    <w:link w:val="Mcnidung"/>
    <w:qFormat/>
    <w:locked/>
    <w:rPr>
      <w:rFonts w:ascii="Times New Roman" w:eastAsia="Times New Roman" w:hAnsi="Times New Roman" w:cs="Times New Roman"/>
      <w:szCs w:val="28"/>
      <w:lang w:val="pt-BR"/>
    </w:rPr>
  </w:style>
  <w:style w:type="paragraph" w:customStyle="1" w:styleId="Mcnidung">
    <w:name w:val="Mục nội dung"/>
    <w:basedOn w:val="Normal"/>
    <w:link w:val="McnidungChar"/>
    <w:qFormat/>
    <w:pPr>
      <w:widowControl w:val="0"/>
      <w:spacing w:before="100"/>
      <w:ind w:firstLine="567"/>
      <w:jc w:val="both"/>
    </w:pPr>
    <w:rPr>
      <w:szCs w:val="28"/>
      <w:lang w:val="pt-BR"/>
    </w:rPr>
  </w:style>
  <w:style w:type="paragraph" w:customStyle="1" w:styleId="Revision1">
    <w:name w:val="Revision1"/>
    <w:hidden/>
    <w:uiPriority w:val="99"/>
    <w:semiHidden/>
    <w:qFormat/>
    <w:rPr>
      <w:rFonts w:ascii="Times New Roman" w:hAnsi="Times New Roman"/>
      <w:sz w:val="28"/>
      <w:szCs w:val="22"/>
    </w:rPr>
  </w:style>
  <w:style w:type="character" w:customStyle="1" w:styleId="NidungChar">
    <w:name w:val="Nội dung Char"/>
    <w:link w:val="Nidung0"/>
    <w:qFormat/>
    <w:locked/>
    <w:rPr>
      <w:sz w:val="28"/>
      <w:szCs w:val="28"/>
      <w:lang w:eastAsia="ja-JP"/>
    </w:rPr>
  </w:style>
  <w:style w:type="paragraph" w:customStyle="1" w:styleId="Nidung0">
    <w:name w:val="Nội dung"/>
    <w:basedOn w:val="BodyTextIndent"/>
    <w:link w:val="NidungChar"/>
    <w:qFormat/>
    <w:pPr>
      <w:widowControl w:val="0"/>
      <w:spacing w:before="120"/>
      <w:ind w:left="0" w:firstLine="720"/>
      <w:jc w:val="both"/>
    </w:pPr>
    <w:rPr>
      <w:rFonts w:ascii="Calibri" w:hAnsi="Calibri"/>
      <w:szCs w:val="28"/>
      <w:lang w:eastAsia="ja-JP"/>
    </w:rPr>
  </w:style>
  <w:style w:type="character" w:customStyle="1" w:styleId="BodyTextIndentChar">
    <w:name w:val="Body Text Indent Char"/>
    <w:basedOn w:val="DefaultParagraphFont"/>
    <w:link w:val="BodyTextIndent"/>
    <w:uiPriority w:val="99"/>
    <w:semiHidden/>
    <w:qFormat/>
    <w:rPr>
      <w:rFonts w:ascii="Times New Roman" w:hAnsi="Times New Roman"/>
      <w:sz w:val="28"/>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hgkelc">
    <w:name w:val="hgkelc"/>
    <w:basedOn w:val="DefaultParagraphFont"/>
    <w:qFormat/>
  </w:style>
  <w:style w:type="paragraph" w:customStyle="1" w:styleId="K1">
    <w:name w:val="Kỳ 1"/>
    <w:basedOn w:val="Normal"/>
    <w:link w:val="K1Char"/>
    <w:qFormat/>
    <w:pPr>
      <w:keepNext/>
      <w:spacing w:before="120" w:after="120"/>
      <w:ind w:firstLine="720"/>
      <w:jc w:val="both"/>
    </w:pPr>
  </w:style>
  <w:style w:type="character" w:customStyle="1" w:styleId="K1Char">
    <w:name w:val="Kỳ 1 Char"/>
    <w:link w:val="K1"/>
    <w:qFormat/>
    <w:rPr>
      <w:rFonts w:ascii="Times New Roman" w:eastAsia="Times New Roman" w:hAnsi="Times New Roman" w:cs="Times New Roman"/>
      <w:sz w:val="28"/>
      <w:szCs w:val="24"/>
    </w:rPr>
  </w:style>
  <w:style w:type="paragraph" w:customStyle="1" w:styleId="iu">
    <w:name w:val="Điều"/>
    <w:basedOn w:val="NormalWeb"/>
    <w:qFormat/>
    <w:rsid w:val="00880593"/>
    <w:pPr>
      <w:widowControl w:val="0"/>
      <w:shd w:val="clear" w:color="auto" w:fill="FFFFFF"/>
      <w:spacing w:before="120" w:line="340" w:lineRule="exact"/>
      <w:ind w:left="0" w:firstLine="720"/>
      <w:contextualSpacing w:val="0"/>
      <w:jc w:val="both"/>
      <w:outlineLvl w:val="3"/>
    </w:pPr>
    <w:rPr>
      <w:b/>
      <w:iCs/>
      <w:sz w:val="28"/>
      <w:szCs w:val="28"/>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ft Char"/>
    <w:uiPriority w:val="99"/>
    <w:rsid w:val="00C10427"/>
    <w:rPr>
      <w:rFonts w:ascii="Times New Roman" w:eastAsia="Times New Roman" w:hAnsi="Times New Roman" w:cs="Times New Roman"/>
      <w:sz w:val="20"/>
      <w:szCs w:val="20"/>
      <w:lang w:val="en-US"/>
    </w:rPr>
  </w:style>
  <w:style w:type="paragraph" w:customStyle="1" w:styleId="ftrefCharCharCharCharChar">
    <w:name w:val="ftref Char Char Char Char Char"/>
    <w:aliases w:val="Footnote Char Char Char Char Char,16 Point Char Char Char Char Char,Superscript 6 Point Char Char Char Char Char,Superscript 6 Point + 11 pt Char Char Char Char Char,Ref Char Char Char Char Char"/>
    <w:basedOn w:val="Normal"/>
    <w:qFormat/>
    <w:rsid w:val="00C10427"/>
    <w:pPr>
      <w:spacing w:before="100" w:line="240" w:lineRule="exact"/>
    </w:pPr>
    <w:rPr>
      <w:rFonts w:asciiTheme="minorHAnsi" w:eastAsiaTheme="minorHAnsi" w:hAnsiTheme="minorHAnsi" w:cstheme="minorBidi"/>
      <w:vertAlign w:val="superscript"/>
    </w:rPr>
  </w:style>
  <w:style w:type="character" w:styleId="Emphasis">
    <w:name w:val="Emphasis"/>
    <w:basedOn w:val="DefaultParagraphFont"/>
    <w:uiPriority w:val="20"/>
    <w:qFormat/>
    <w:rsid w:val="00BA6C82"/>
    <w:rPr>
      <w:i/>
      <w:iCs/>
    </w:rPr>
  </w:style>
  <w:style w:type="character" w:customStyle="1" w:styleId="apple-converted-space">
    <w:name w:val="apple-converted-space"/>
    <w:basedOn w:val="DefaultParagraphFont"/>
    <w:rsid w:val="00BA6C82"/>
  </w:style>
  <w:style w:type="character" w:customStyle="1" w:styleId="fontstyle21">
    <w:name w:val="fontstyle21"/>
    <w:basedOn w:val="DefaultParagraphFont"/>
    <w:rsid w:val="001B6AAF"/>
  </w:style>
  <w:style w:type="paragraph" w:customStyle="1" w:styleId="text-justify">
    <w:name w:val="text-justify"/>
    <w:basedOn w:val="Normal"/>
    <w:rsid w:val="00775DF2"/>
    <w:pPr>
      <w:spacing w:before="100" w:beforeAutospacing="1" w:after="100" w:afterAutospacing="1"/>
    </w:pPr>
  </w:style>
  <w:style w:type="character" w:styleId="Strong">
    <w:name w:val="Strong"/>
    <w:basedOn w:val="DefaultParagraphFont"/>
    <w:uiPriority w:val="22"/>
    <w:qFormat/>
    <w:rsid w:val="007C5CBF"/>
    <w:rPr>
      <w:b/>
      <w:bCs/>
    </w:rPr>
  </w:style>
  <w:style w:type="character" w:customStyle="1" w:styleId="Bodytext2">
    <w:name w:val="Body text (2)_"/>
    <w:basedOn w:val="DefaultParagraphFont"/>
    <w:link w:val="Bodytext20"/>
    <w:uiPriority w:val="99"/>
    <w:locked/>
    <w:rsid w:val="00C62578"/>
    <w:rPr>
      <w:rFonts w:ascii="Times New Roman" w:hAnsi="Times New Roman" w:cs="Times New Roman"/>
      <w:sz w:val="26"/>
      <w:szCs w:val="26"/>
      <w:shd w:val="clear" w:color="auto" w:fill="FFFFFF"/>
    </w:rPr>
  </w:style>
  <w:style w:type="paragraph" w:customStyle="1" w:styleId="Bodytext20">
    <w:name w:val="Body text (2)"/>
    <w:basedOn w:val="Normal"/>
    <w:link w:val="Bodytext2"/>
    <w:uiPriority w:val="99"/>
    <w:rsid w:val="00C62578"/>
    <w:pPr>
      <w:widowControl w:val="0"/>
      <w:shd w:val="clear" w:color="auto" w:fill="FFFFFF"/>
      <w:spacing w:before="480" w:after="300" w:line="240" w:lineRule="atLeast"/>
      <w:ind w:right="-1"/>
      <w:jc w:val="center"/>
    </w:pPr>
    <w:rPr>
      <w:rFonts w:eastAsia="Calibri"/>
      <w:sz w:val="26"/>
      <w:szCs w:val="26"/>
    </w:rPr>
  </w:style>
  <w:style w:type="character" w:customStyle="1" w:styleId="Bodytext2Bold">
    <w:name w:val="Body text (2) + Bold"/>
    <w:basedOn w:val="Bodytext2"/>
    <w:uiPriority w:val="99"/>
    <w:rsid w:val="00C62578"/>
    <w:rPr>
      <w:rFonts w:ascii="Times New Roman" w:hAnsi="Times New Roman" w:cs="Times New Roman"/>
      <w:b/>
      <w:bCs/>
      <w:sz w:val="26"/>
      <w:szCs w:val="26"/>
      <w:u w:val="none"/>
      <w:shd w:val="clear" w:color="auto" w:fill="FFFFFF"/>
    </w:rPr>
  </w:style>
  <w:style w:type="character" w:customStyle="1" w:styleId="Bodytext2Italic">
    <w:name w:val="Body text (2) + Italic"/>
    <w:basedOn w:val="Bodytext2"/>
    <w:uiPriority w:val="99"/>
    <w:rsid w:val="00C62578"/>
    <w:rPr>
      <w:rFonts w:ascii="Times New Roman" w:hAnsi="Times New Roman" w:cs="Times New Roman"/>
      <w:i/>
      <w:iCs/>
      <w:sz w:val="26"/>
      <w:szCs w:val="26"/>
      <w:u w:val="none"/>
      <w:shd w:val="clear" w:color="auto" w:fill="FFFFFF"/>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4E5210"/>
    <w:pPr>
      <w:spacing w:before="100" w:line="240" w:lineRule="exact"/>
      <w:ind w:firstLine="567"/>
      <w:jc w:val="both"/>
    </w:pPr>
    <w:rPr>
      <w:rFonts w:asciiTheme="minorHAnsi" w:eastAsiaTheme="minorHAnsi" w:hAnsiTheme="minorHAnsi" w:cstheme="minorBidi"/>
      <w:vertAlign w:val="superscript"/>
      <w:lang w:val="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8519">
      <w:bodyDiv w:val="1"/>
      <w:marLeft w:val="0"/>
      <w:marRight w:val="0"/>
      <w:marTop w:val="0"/>
      <w:marBottom w:val="0"/>
      <w:divBdr>
        <w:top w:val="none" w:sz="0" w:space="0" w:color="auto"/>
        <w:left w:val="none" w:sz="0" w:space="0" w:color="auto"/>
        <w:bottom w:val="none" w:sz="0" w:space="0" w:color="auto"/>
        <w:right w:val="none" w:sz="0" w:space="0" w:color="auto"/>
      </w:divBdr>
    </w:div>
    <w:div w:id="176239091">
      <w:bodyDiv w:val="1"/>
      <w:marLeft w:val="0"/>
      <w:marRight w:val="0"/>
      <w:marTop w:val="0"/>
      <w:marBottom w:val="0"/>
      <w:divBdr>
        <w:top w:val="none" w:sz="0" w:space="0" w:color="auto"/>
        <w:left w:val="none" w:sz="0" w:space="0" w:color="auto"/>
        <w:bottom w:val="none" w:sz="0" w:space="0" w:color="auto"/>
        <w:right w:val="none" w:sz="0" w:space="0" w:color="auto"/>
      </w:divBdr>
    </w:div>
    <w:div w:id="443697999">
      <w:bodyDiv w:val="1"/>
      <w:marLeft w:val="0"/>
      <w:marRight w:val="0"/>
      <w:marTop w:val="0"/>
      <w:marBottom w:val="0"/>
      <w:divBdr>
        <w:top w:val="none" w:sz="0" w:space="0" w:color="auto"/>
        <w:left w:val="none" w:sz="0" w:space="0" w:color="auto"/>
        <w:bottom w:val="none" w:sz="0" w:space="0" w:color="auto"/>
        <w:right w:val="none" w:sz="0" w:space="0" w:color="auto"/>
      </w:divBdr>
    </w:div>
    <w:div w:id="741680728">
      <w:bodyDiv w:val="1"/>
      <w:marLeft w:val="0"/>
      <w:marRight w:val="0"/>
      <w:marTop w:val="0"/>
      <w:marBottom w:val="0"/>
      <w:divBdr>
        <w:top w:val="none" w:sz="0" w:space="0" w:color="auto"/>
        <w:left w:val="none" w:sz="0" w:space="0" w:color="auto"/>
        <w:bottom w:val="none" w:sz="0" w:space="0" w:color="auto"/>
        <w:right w:val="none" w:sz="0" w:space="0" w:color="auto"/>
      </w:divBdr>
    </w:div>
    <w:div w:id="800922604">
      <w:bodyDiv w:val="1"/>
      <w:marLeft w:val="0"/>
      <w:marRight w:val="0"/>
      <w:marTop w:val="0"/>
      <w:marBottom w:val="0"/>
      <w:divBdr>
        <w:top w:val="none" w:sz="0" w:space="0" w:color="auto"/>
        <w:left w:val="none" w:sz="0" w:space="0" w:color="auto"/>
        <w:bottom w:val="none" w:sz="0" w:space="0" w:color="auto"/>
        <w:right w:val="none" w:sz="0" w:space="0" w:color="auto"/>
      </w:divBdr>
    </w:div>
    <w:div w:id="1309286090">
      <w:bodyDiv w:val="1"/>
      <w:marLeft w:val="0"/>
      <w:marRight w:val="0"/>
      <w:marTop w:val="0"/>
      <w:marBottom w:val="0"/>
      <w:divBdr>
        <w:top w:val="none" w:sz="0" w:space="0" w:color="auto"/>
        <w:left w:val="none" w:sz="0" w:space="0" w:color="auto"/>
        <w:bottom w:val="none" w:sz="0" w:space="0" w:color="auto"/>
        <w:right w:val="none" w:sz="0" w:space="0" w:color="auto"/>
      </w:divBdr>
    </w:div>
    <w:div w:id="1331908539">
      <w:bodyDiv w:val="1"/>
      <w:marLeft w:val="0"/>
      <w:marRight w:val="0"/>
      <w:marTop w:val="0"/>
      <w:marBottom w:val="0"/>
      <w:divBdr>
        <w:top w:val="none" w:sz="0" w:space="0" w:color="auto"/>
        <w:left w:val="none" w:sz="0" w:space="0" w:color="auto"/>
        <w:bottom w:val="none" w:sz="0" w:space="0" w:color="auto"/>
        <w:right w:val="none" w:sz="0" w:space="0" w:color="auto"/>
      </w:divBdr>
    </w:div>
    <w:div w:id="1413313975">
      <w:bodyDiv w:val="1"/>
      <w:marLeft w:val="0"/>
      <w:marRight w:val="0"/>
      <w:marTop w:val="0"/>
      <w:marBottom w:val="0"/>
      <w:divBdr>
        <w:top w:val="none" w:sz="0" w:space="0" w:color="auto"/>
        <w:left w:val="none" w:sz="0" w:space="0" w:color="auto"/>
        <w:bottom w:val="none" w:sz="0" w:space="0" w:color="auto"/>
        <w:right w:val="none" w:sz="0" w:space="0" w:color="auto"/>
      </w:divBdr>
    </w:div>
    <w:div w:id="1418330836">
      <w:bodyDiv w:val="1"/>
      <w:marLeft w:val="0"/>
      <w:marRight w:val="0"/>
      <w:marTop w:val="0"/>
      <w:marBottom w:val="0"/>
      <w:divBdr>
        <w:top w:val="none" w:sz="0" w:space="0" w:color="auto"/>
        <w:left w:val="none" w:sz="0" w:space="0" w:color="auto"/>
        <w:bottom w:val="none" w:sz="0" w:space="0" w:color="auto"/>
        <w:right w:val="none" w:sz="0" w:space="0" w:color="auto"/>
      </w:divBdr>
    </w:div>
    <w:div w:id="1585408813">
      <w:bodyDiv w:val="1"/>
      <w:marLeft w:val="0"/>
      <w:marRight w:val="0"/>
      <w:marTop w:val="0"/>
      <w:marBottom w:val="0"/>
      <w:divBdr>
        <w:top w:val="none" w:sz="0" w:space="0" w:color="auto"/>
        <w:left w:val="none" w:sz="0" w:space="0" w:color="auto"/>
        <w:bottom w:val="none" w:sz="0" w:space="0" w:color="auto"/>
        <w:right w:val="none" w:sz="0" w:space="0" w:color="auto"/>
      </w:divBdr>
    </w:div>
    <w:div w:id="1620910760">
      <w:bodyDiv w:val="1"/>
      <w:marLeft w:val="0"/>
      <w:marRight w:val="0"/>
      <w:marTop w:val="0"/>
      <w:marBottom w:val="0"/>
      <w:divBdr>
        <w:top w:val="none" w:sz="0" w:space="0" w:color="auto"/>
        <w:left w:val="none" w:sz="0" w:space="0" w:color="auto"/>
        <w:bottom w:val="none" w:sz="0" w:space="0" w:color="auto"/>
        <w:right w:val="none" w:sz="0" w:space="0" w:color="auto"/>
      </w:divBdr>
    </w:div>
    <w:div w:id="2021857074">
      <w:bodyDiv w:val="1"/>
      <w:marLeft w:val="0"/>
      <w:marRight w:val="0"/>
      <w:marTop w:val="0"/>
      <w:marBottom w:val="0"/>
      <w:divBdr>
        <w:top w:val="none" w:sz="0" w:space="0" w:color="auto"/>
        <w:left w:val="none" w:sz="0" w:space="0" w:color="auto"/>
        <w:bottom w:val="none" w:sz="0" w:space="0" w:color="auto"/>
        <w:right w:val="none" w:sz="0" w:space="0" w:color="auto"/>
      </w:divBdr>
    </w:div>
    <w:div w:id="2037075353">
      <w:bodyDiv w:val="1"/>
      <w:marLeft w:val="0"/>
      <w:marRight w:val="0"/>
      <w:marTop w:val="0"/>
      <w:marBottom w:val="0"/>
      <w:divBdr>
        <w:top w:val="none" w:sz="0" w:space="0" w:color="auto"/>
        <w:left w:val="none" w:sz="0" w:space="0" w:color="auto"/>
        <w:bottom w:val="none" w:sz="0" w:space="0" w:color="auto"/>
        <w:right w:val="none" w:sz="0" w:space="0" w:color="auto"/>
      </w:divBdr>
    </w:div>
    <w:div w:id="2072734022">
      <w:bodyDiv w:val="1"/>
      <w:marLeft w:val="0"/>
      <w:marRight w:val="0"/>
      <w:marTop w:val="0"/>
      <w:marBottom w:val="0"/>
      <w:divBdr>
        <w:top w:val="none" w:sz="0" w:space="0" w:color="auto"/>
        <w:left w:val="none" w:sz="0" w:space="0" w:color="auto"/>
        <w:bottom w:val="none" w:sz="0" w:space="0" w:color="auto"/>
        <w:right w:val="none" w:sz="0" w:space="0" w:color="auto"/>
      </w:divBdr>
    </w:div>
    <w:div w:id="2141797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863FD1DA-C656-43E2-B69F-77ABB13C0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2064</TotalTime>
  <Pages>18</Pages>
  <Words>9219</Words>
  <Characters>33373</Characters>
  <Application>Microsoft Office Word</Application>
  <DocSecurity>0</DocSecurity>
  <Lines>667</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Tuấn Anh</cp:lastModifiedBy>
  <cp:revision>699</cp:revision>
  <cp:lastPrinted>2025-11-21T03:59:00Z</cp:lastPrinted>
  <dcterms:created xsi:type="dcterms:W3CDTF">2025-03-17T13:58:00Z</dcterms:created>
  <dcterms:modified xsi:type="dcterms:W3CDTF">2026-02-25T20:49:00Z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3091AA5EE1DF4A2AA9E8DD5E637CBEEF_13</vt:lpwstr>
  </property>
</Properties>
</file>